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4D0C4" w14:textId="696CEC5F" w:rsidR="004330C6" w:rsidRPr="003675B8" w:rsidRDefault="003920A4" w:rsidP="003817D3">
      <w:pPr>
        <w:rPr>
          <w:rFonts w:ascii="Arial" w:hAnsi="Arial"/>
          <w:b/>
          <w:color w:val="000000" w:themeColor="text1"/>
          <w:sz w:val="28"/>
          <w:bdr w:val="none" w:sz="0" w:space="0" w:color="auto" w:frame="1"/>
          <w:lang w:val="en-US"/>
        </w:rPr>
      </w:pPr>
      <w:r>
        <w:rPr>
          <w:rFonts w:ascii="Calibri" w:hAnsi="Calibri"/>
          <w:sz w:val="52"/>
          <w:lang w:val="en"/>
        </w:rPr>
        <w:t xml:space="preserve">Communiqué de </w:t>
      </w:r>
      <w:proofErr w:type="spellStart"/>
      <w:r>
        <w:rPr>
          <w:rFonts w:ascii="Calibri" w:hAnsi="Calibri"/>
          <w:sz w:val="52"/>
          <w:lang w:val="en"/>
        </w:rPr>
        <w:t>presse</w:t>
      </w:r>
      <w:proofErr w:type="spellEnd"/>
      <w:r>
        <w:rPr>
          <w:rFonts w:ascii="Calibri" w:hAnsi="Calibri"/>
          <w:sz w:val="52"/>
          <w:lang w:val="en"/>
        </w:rPr>
        <w:t xml:space="preserve"> </w:t>
      </w:r>
      <w:r>
        <w:rPr>
          <w:rFonts w:ascii="Calibri" w:hAnsi="Calibri"/>
          <w:sz w:val="52"/>
          <w:lang w:val="en"/>
        </w:rPr>
        <w:tab/>
      </w:r>
    </w:p>
    <w:p w14:paraId="6339F83F" w14:textId="77777777" w:rsidR="004330C6" w:rsidRPr="003675B8" w:rsidRDefault="004330C6" w:rsidP="003817D3">
      <w:pPr>
        <w:rPr>
          <w:rFonts w:ascii="Arial" w:hAnsi="Arial"/>
          <w:b/>
          <w:color w:val="000000" w:themeColor="text1"/>
          <w:sz w:val="28"/>
          <w:bdr w:val="none" w:sz="0" w:space="0" w:color="auto" w:frame="1"/>
          <w:lang w:val="en-US"/>
        </w:rPr>
      </w:pPr>
    </w:p>
    <w:p w14:paraId="41F56B45" w14:textId="77777777" w:rsidR="004330C6" w:rsidRPr="003675B8" w:rsidRDefault="004330C6" w:rsidP="003817D3">
      <w:pPr>
        <w:rPr>
          <w:rFonts w:ascii="Arial" w:hAnsi="Arial"/>
          <w:b/>
          <w:color w:val="000000" w:themeColor="text1"/>
          <w:sz w:val="28"/>
          <w:bdr w:val="none" w:sz="0" w:space="0" w:color="auto" w:frame="1"/>
          <w:lang w:val="en-US"/>
        </w:rPr>
      </w:pPr>
    </w:p>
    <w:p w14:paraId="2F838A73" w14:textId="7161B041" w:rsidR="004968EC" w:rsidRPr="003675B8" w:rsidRDefault="00785127" w:rsidP="009575BA">
      <w:pPr>
        <w:rPr>
          <w:rFonts w:ascii="Calibri" w:hAnsi="Calibri"/>
          <w:b/>
          <w:color w:val="0D0D0D" w:themeColor="text1" w:themeTint="F2"/>
          <w:sz w:val="44"/>
          <w:bdr w:val="none" w:sz="0" w:space="0" w:color="auto" w:frame="1"/>
          <w:lang w:val="en-US"/>
        </w:rPr>
      </w:pPr>
      <w:r>
        <w:rPr>
          <w:rFonts w:ascii="Calibri" w:hAnsi="Calibri"/>
          <w:b/>
          <w:bCs/>
          <w:color w:val="0D0D0D" w:themeColor="text1" w:themeTint="F2"/>
          <w:sz w:val="44"/>
          <w:bdr w:val="none" w:sz="0" w:space="0" w:color="auto" w:frame="1"/>
          <w:lang w:val="en"/>
        </w:rPr>
        <w:t xml:space="preserve">Believe in Music, Believe in Live – Adam Hall Group </w:t>
      </w:r>
      <w:proofErr w:type="spellStart"/>
      <w:r>
        <w:rPr>
          <w:rFonts w:ascii="Calibri" w:hAnsi="Calibri"/>
          <w:b/>
          <w:bCs/>
          <w:color w:val="0D0D0D" w:themeColor="text1" w:themeTint="F2"/>
          <w:sz w:val="44"/>
          <w:bdr w:val="none" w:sz="0" w:space="0" w:color="auto" w:frame="1"/>
          <w:lang w:val="en"/>
        </w:rPr>
        <w:t>donne</w:t>
      </w:r>
      <w:proofErr w:type="spellEnd"/>
      <w:r>
        <w:rPr>
          <w:rFonts w:ascii="Calibri" w:hAnsi="Calibri"/>
          <w:b/>
          <w:bCs/>
          <w:color w:val="0D0D0D" w:themeColor="text1" w:themeTint="F2"/>
          <w:sz w:val="44"/>
          <w:bdr w:val="none" w:sz="0" w:space="0" w:color="auto" w:frame="1"/>
          <w:lang w:val="en"/>
        </w:rPr>
        <w:t xml:space="preserve"> le ton au salon Winter</w:t>
      </w:r>
      <w:r>
        <w:rPr>
          <w:rFonts w:ascii="Calibri" w:hAnsi="Calibri"/>
          <w:color w:val="0D0D0D" w:themeColor="text1" w:themeTint="F2"/>
          <w:sz w:val="44"/>
          <w:bdr w:val="none" w:sz="0" w:space="0" w:color="auto" w:frame="1"/>
          <w:lang w:val="en"/>
        </w:rPr>
        <w:t> </w:t>
      </w:r>
      <w:r>
        <w:rPr>
          <w:rFonts w:ascii="Calibri" w:hAnsi="Calibri"/>
          <w:b/>
          <w:bCs/>
          <w:color w:val="0D0D0D" w:themeColor="text1" w:themeTint="F2"/>
          <w:sz w:val="44"/>
          <w:bdr w:val="none" w:sz="0" w:space="0" w:color="auto" w:frame="1"/>
          <w:lang w:val="en"/>
        </w:rPr>
        <w:t>NAMM</w:t>
      </w:r>
      <w:r>
        <w:rPr>
          <w:rFonts w:ascii="Calibri" w:hAnsi="Calibri"/>
          <w:color w:val="0D0D0D" w:themeColor="text1" w:themeTint="F2"/>
          <w:sz w:val="44"/>
          <w:bdr w:val="none" w:sz="0" w:space="0" w:color="auto" w:frame="1"/>
          <w:lang w:val="en"/>
        </w:rPr>
        <w:t> </w:t>
      </w:r>
      <w:r>
        <w:rPr>
          <w:rFonts w:ascii="Calibri" w:hAnsi="Calibri"/>
          <w:b/>
          <w:bCs/>
          <w:color w:val="0D0D0D" w:themeColor="text1" w:themeTint="F2"/>
          <w:sz w:val="44"/>
          <w:bdr w:val="none" w:sz="0" w:space="0" w:color="auto" w:frame="1"/>
          <w:lang w:val="en"/>
        </w:rPr>
        <w:t>2021</w:t>
      </w:r>
    </w:p>
    <w:p w14:paraId="6463306C" w14:textId="77777777" w:rsidR="00780A4D" w:rsidRPr="003675B8" w:rsidRDefault="00780A4D" w:rsidP="00C028A4">
      <w:pPr>
        <w:rPr>
          <w:rFonts w:ascii="Calibri" w:hAnsi="Calibri"/>
          <w:b/>
          <w:color w:val="0D0D0D" w:themeColor="text1" w:themeTint="F2"/>
          <w:sz w:val="36"/>
          <w:szCs w:val="36"/>
          <w:bdr w:val="none" w:sz="0" w:space="0" w:color="auto" w:frame="1"/>
          <w:lang w:val="en-US"/>
        </w:rPr>
      </w:pPr>
    </w:p>
    <w:p w14:paraId="3C01C7D9" w14:textId="3F0654F9" w:rsidR="00DE2B01" w:rsidRPr="00256265" w:rsidRDefault="003834DC" w:rsidP="00456C8C">
      <w:pPr>
        <w:jc w:val="both"/>
        <w:rPr>
          <w:rFonts w:ascii="Calibri" w:hAnsi="Calibri"/>
          <w:b/>
          <w:bCs/>
          <w:color w:val="0D0D0D" w:themeColor="text1" w:themeTint="F2"/>
          <w:sz w:val="22"/>
          <w:bdr w:val="none" w:sz="0" w:space="0" w:color="auto" w:frame="1"/>
          <w:lang w:val="fr-FR"/>
        </w:rPr>
      </w:pPr>
      <w:proofErr w:type="spellStart"/>
      <w:r w:rsidRPr="00456C8C">
        <w:rPr>
          <w:rFonts w:ascii="Calibri" w:hAnsi="Calibri"/>
          <w:b/>
          <w:bCs/>
          <w:color w:val="0D0D0D" w:themeColor="text1" w:themeTint="F2"/>
          <w:sz w:val="22"/>
          <w:bdr w:val="none" w:sz="0" w:space="0" w:color="auto" w:frame="1"/>
          <w:lang w:val="fr-FR"/>
        </w:rPr>
        <w:t>Neu-Anspach</w:t>
      </w:r>
      <w:proofErr w:type="spellEnd"/>
      <w:r w:rsidRPr="00456C8C">
        <w:rPr>
          <w:rFonts w:ascii="Calibri" w:hAnsi="Calibri"/>
          <w:b/>
          <w:bCs/>
          <w:color w:val="0D0D0D" w:themeColor="text1" w:themeTint="F2"/>
          <w:sz w:val="22"/>
          <w:bdr w:val="none" w:sz="0" w:space="0" w:color="auto" w:frame="1"/>
          <w:lang w:val="fr-FR"/>
        </w:rPr>
        <w:t xml:space="preserve">, Allemagne – </w:t>
      </w:r>
      <w:r w:rsidR="00256265" w:rsidRPr="00256265">
        <w:rPr>
          <w:rFonts w:ascii="Calibri" w:hAnsi="Calibri"/>
          <w:b/>
          <w:bCs/>
          <w:color w:val="0D0D0D" w:themeColor="text1" w:themeTint="F2"/>
          <w:sz w:val="22"/>
          <w:bdr w:val="none" w:sz="0" w:space="0" w:color="auto" w:frame="1"/>
          <w:lang w:val="fr-FR"/>
        </w:rPr>
        <w:t>15</w:t>
      </w:r>
      <w:r w:rsidRPr="00256265">
        <w:rPr>
          <w:rFonts w:ascii="Calibri" w:hAnsi="Calibri"/>
          <w:b/>
          <w:bCs/>
          <w:color w:val="0D0D0D" w:themeColor="text1" w:themeTint="F2"/>
          <w:sz w:val="22"/>
          <w:bdr w:val="none" w:sz="0" w:space="0" w:color="auto" w:frame="1"/>
          <w:lang w:val="fr-FR"/>
        </w:rPr>
        <w:t xml:space="preserve"> janvier 2021 </w:t>
      </w:r>
      <w:r w:rsidRPr="00456C8C">
        <w:rPr>
          <w:rFonts w:ascii="Calibri" w:hAnsi="Calibri"/>
          <w:b/>
          <w:bCs/>
          <w:color w:val="0D0D0D" w:themeColor="text1" w:themeTint="F2"/>
          <w:sz w:val="22"/>
          <w:bdr w:val="none" w:sz="0" w:space="0" w:color="auto" w:frame="1"/>
          <w:lang w:val="fr-FR"/>
        </w:rPr>
        <w:t>–</w:t>
      </w:r>
      <w:r w:rsidRPr="00256265">
        <w:rPr>
          <w:rFonts w:ascii="Calibri" w:hAnsi="Calibri"/>
          <w:b/>
          <w:bCs/>
          <w:color w:val="0D0D0D" w:themeColor="text1" w:themeTint="F2"/>
          <w:sz w:val="22"/>
          <w:bdr w:val="none" w:sz="0" w:space="0" w:color="auto" w:frame="1"/>
          <w:lang w:val="fr-FR"/>
        </w:rPr>
        <w:t xml:space="preserve"> </w:t>
      </w:r>
      <w:r w:rsidRPr="00456C8C">
        <w:rPr>
          <w:rFonts w:ascii="Calibri" w:hAnsi="Calibri"/>
          <w:b/>
          <w:bCs/>
          <w:color w:val="0D0D0D" w:themeColor="text1" w:themeTint="F2"/>
          <w:sz w:val="22"/>
          <w:bdr w:val="none" w:sz="0" w:space="0" w:color="auto" w:frame="1"/>
          <w:lang w:val="fr-FR"/>
        </w:rPr>
        <w:t>Avec un événement en ligne de cinq jours avec pour devise «</w:t>
      </w:r>
      <w:r w:rsidRPr="00256265">
        <w:rPr>
          <w:rFonts w:ascii="Calibri" w:hAnsi="Calibri"/>
          <w:b/>
          <w:bCs/>
          <w:color w:val="0D0D0D" w:themeColor="text1" w:themeTint="F2"/>
          <w:sz w:val="22"/>
          <w:bdr w:val="none" w:sz="0" w:space="0" w:color="auto" w:frame="1"/>
          <w:lang w:val="fr-FR"/>
        </w:rPr>
        <w:t> </w:t>
      </w:r>
      <w:r w:rsidRPr="00456C8C">
        <w:rPr>
          <w:rFonts w:ascii="Calibri" w:hAnsi="Calibri"/>
          <w:b/>
          <w:bCs/>
          <w:color w:val="0D0D0D" w:themeColor="text1" w:themeTint="F2"/>
          <w:sz w:val="22"/>
          <w:bdr w:val="none" w:sz="0" w:space="0" w:color="auto" w:frame="1"/>
          <w:lang w:val="fr-FR"/>
        </w:rPr>
        <w:t>Believe in Music</w:t>
      </w:r>
      <w:r w:rsidRPr="00256265">
        <w:rPr>
          <w:rFonts w:ascii="Calibri" w:hAnsi="Calibri"/>
          <w:b/>
          <w:bCs/>
          <w:color w:val="0D0D0D" w:themeColor="text1" w:themeTint="F2"/>
          <w:sz w:val="22"/>
          <w:bdr w:val="none" w:sz="0" w:space="0" w:color="auto" w:frame="1"/>
          <w:lang w:val="fr-FR"/>
        </w:rPr>
        <w:t> </w:t>
      </w:r>
      <w:r w:rsidRPr="00456C8C">
        <w:rPr>
          <w:rFonts w:ascii="Calibri" w:hAnsi="Calibri"/>
          <w:b/>
          <w:bCs/>
          <w:color w:val="0D0D0D" w:themeColor="text1" w:themeTint="F2"/>
          <w:sz w:val="22"/>
          <w:bdr w:val="none" w:sz="0" w:space="0" w:color="auto" w:frame="1"/>
          <w:lang w:val="fr-FR"/>
        </w:rPr>
        <w:t>», le salon Winter</w:t>
      </w:r>
      <w:r w:rsidRPr="00256265">
        <w:rPr>
          <w:rFonts w:ascii="Calibri" w:hAnsi="Calibri"/>
          <w:b/>
          <w:bCs/>
          <w:color w:val="0D0D0D" w:themeColor="text1" w:themeTint="F2"/>
          <w:sz w:val="22"/>
          <w:bdr w:val="none" w:sz="0" w:space="0" w:color="auto" w:frame="1"/>
          <w:lang w:val="fr-FR"/>
        </w:rPr>
        <w:t> </w:t>
      </w:r>
      <w:r w:rsidRPr="00456C8C">
        <w:rPr>
          <w:rFonts w:ascii="Calibri" w:hAnsi="Calibri"/>
          <w:b/>
          <w:bCs/>
          <w:color w:val="0D0D0D" w:themeColor="text1" w:themeTint="F2"/>
          <w:sz w:val="22"/>
          <w:bdr w:val="none" w:sz="0" w:space="0" w:color="auto" w:frame="1"/>
          <w:lang w:val="fr-FR"/>
        </w:rPr>
        <w:t>NAMM de cette année fait face aux effets de la pandémie de coronavirus</w:t>
      </w:r>
      <w:r w:rsidRPr="00256265">
        <w:rPr>
          <w:rFonts w:ascii="Calibri" w:hAnsi="Calibri"/>
          <w:b/>
          <w:bCs/>
          <w:color w:val="0D0D0D" w:themeColor="text1" w:themeTint="F2"/>
          <w:sz w:val="22"/>
          <w:bdr w:val="none" w:sz="0" w:space="0" w:color="auto" w:frame="1"/>
          <w:lang w:val="fr-FR"/>
        </w:rPr>
        <w:t>.</w:t>
      </w:r>
      <w:r w:rsidRPr="00456C8C">
        <w:rPr>
          <w:rFonts w:ascii="Calibri" w:hAnsi="Calibri"/>
          <w:b/>
          <w:bCs/>
          <w:color w:val="0D0D0D" w:themeColor="text1" w:themeTint="F2"/>
          <w:sz w:val="22"/>
          <w:bdr w:val="none" w:sz="0" w:space="0" w:color="auto" w:frame="1"/>
          <w:lang w:val="fr-FR"/>
        </w:rPr>
        <w:t xml:space="preserve"> Du 18 au 22 janvier, le NAMM rassemblera des fabricants, des distributeurs, des artistes, des influenceurs, des représentants de la presse et des amateurs de musique dans le monde entier pour un événement virtuel de </w:t>
      </w:r>
      <w:r w:rsidR="00456C8C" w:rsidRPr="00256265">
        <w:rPr>
          <w:rFonts w:ascii="Calibri" w:hAnsi="Calibri"/>
          <w:b/>
          <w:bCs/>
          <w:color w:val="0D0D0D" w:themeColor="text1" w:themeTint="F2"/>
          <w:sz w:val="22"/>
          <w:bdr w:val="none" w:sz="0" w:space="0" w:color="auto" w:frame="1"/>
          <w:lang w:val="fr-FR"/>
        </w:rPr>
        <w:t>premier</w:t>
      </w:r>
      <w:r w:rsidRPr="00256265">
        <w:rPr>
          <w:rFonts w:ascii="Calibri" w:hAnsi="Calibri"/>
          <w:b/>
          <w:bCs/>
          <w:color w:val="0D0D0D" w:themeColor="text1" w:themeTint="F2"/>
          <w:sz w:val="22"/>
          <w:bdr w:val="none" w:sz="0" w:space="0" w:color="auto" w:frame="1"/>
          <w:lang w:val="fr-FR"/>
        </w:rPr>
        <w:t xml:space="preserve"> </w:t>
      </w:r>
      <w:r w:rsidRPr="00456C8C">
        <w:rPr>
          <w:rFonts w:ascii="Calibri" w:hAnsi="Calibri"/>
          <w:b/>
          <w:bCs/>
          <w:color w:val="0D0D0D" w:themeColor="text1" w:themeTint="F2"/>
          <w:sz w:val="22"/>
          <w:bdr w:val="none" w:sz="0" w:space="0" w:color="auto" w:frame="1"/>
          <w:lang w:val="fr-FR"/>
        </w:rPr>
        <w:t>ordre. Adam Hall Group participera également à la semaine Believe in Music avec ses solutions techniques pour l'événementiel des marques LD</w:t>
      </w:r>
      <w:r w:rsidRPr="00256265">
        <w:rPr>
          <w:rFonts w:ascii="Calibri" w:hAnsi="Calibri"/>
          <w:b/>
          <w:bCs/>
          <w:color w:val="0D0D0D" w:themeColor="text1" w:themeTint="F2"/>
          <w:sz w:val="22"/>
          <w:bdr w:val="none" w:sz="0" w:space="0" w:color="auto" w:frame="1"/>
          <w:lang w:val="fr-FR"/>
        </w:rPr>
        <w:t> </w:t>
      </w:r>
      <w:proofErr w:type="spellStart"/>
      <w:r w:rsidRPr="00456C8C">
        <w:rPr>
          <w:rFonts w:ascii="Calibri" w:hAnsi="Calibri"/>
          <w:b/>
          <w:bCs/>
          <w:color w:val="0D0D0D" w:themeColor="text1" w:themeTint="F2"/>
          <w:sz w:val="22"/>
          <w:bdr w:val="none" w:sz="0" w:space="0" w:color="auto" w:frame="1"/>
          <w:lang w:val="fr-FR"/>
        </w:rPr>
        <w:t>Systems</w:t>
      </w:r>
      <w:proofErr w:type="spellEnd"/>
      <w:r w:rsidRPr="00456C8C">
        <w:rPr>
          <w:rFonts w:ascii="Calibri" w:hAnsi="Calibri"/>
          <w:b/>
          <w:bCs/>
          <w:color w:val="0D0D0D" w:themeColor="text1" w:themeTint="F2"/>
          <w:sz w:val="22"/>
          <w:bdr w:val="none" w:sz="0" w:space="0" w:color="auto" w:frame="1"/>
          <w:lang w:val="fr-FR"/>
        </w:rPr>
        <w:t xml:space="preserve">, </w:t>
      </w:r>
      <w:proofErr w:type="spellStart"/>
      <w:r w:rsidRPr="00456C8C">
        <w:rPr>
          <w:rFonts w:ascii="Calibri" w:hAnsi="Calibri"/>
          <w:b/>
          <w:bCs/>
          <w:color w:val="0D0D0D" w:themeColor="text1" w:themeTint="F2"/>
          <w:sz w:val="22"/>
          <w:bdr w:val="none" w:sz="0" w:space="0" w:color="auto" w:frame="1"/>
          <w:lang w:val="fr-FR"/>
        </w:rPr>
        <w:t>Cameo</w:t>
      </w:r>
      <w:proofErr w:type="spellEnd"/>
      <w:r w:rsidRPr="00456C8C">
        <w:rPr>
          <w:rFonts w:ascii="Calibri" w:hAnsi="Calibri"/>
          <w:b/>
          <w:bCs/>
          <w:color w:val="0D0D0D" w:themeColor="text1" w:themeTint="F2"/>
          <w:sz w:val="22"/>
          <w:bdr w:val="none" w:sz="0" w:space="0" w:color="auto" w:frame="1"/>
          <w:lang w:val="fr-FR"/>
        </w:rPr>
        <w:t>, Gravity et Palmer. Avec une devise légèrement modifiée – «</w:t>
      </w:r>
      <w:r w:rsidRPr="00256265">
        <w:rPr>
          <w:rFonts w:ascii="Calibri" w:hAnsi="Calibri"/>
          <w:b/>
          <w:bCs/>
          <w:color w:val="0D0D0D" w:themeColor="text1" w:themeTint="F2"/>
          <w:sz w:val="22"/>
          <w:bdr w:val="none" w:sz="0" w:space="0" w:color="auto" w:frame="1"/>
          <w:lang w:val="fr-FR"/>
        </w:rPr>
        <w:t> </w:t>
      </w:r>
      <w:r w:rsidRPr="00456C8C">
        <w:rPr>
          <w:rFonts w:ascii="Calibri" w:hAnsi="Calibri"/>
          <w:b/>
          <w:bCs/>
          <w:color w:val="0D0D0D" w:themeColor="text1" w:themeTint="F2"/>
          <w:sz w:val="22"/>
          <w:bdr w:val="none" w:sz="0" w:space="0" w:color="auto" w:frame="1"/>
          <w:lang w:val="fr-FR"/>
        </w:rPr>
        <w:t>Believe in Live</w:t>
      </w:r>
      <w:r w:rsidRPr="00256265">
        <w:rPr>
          <w:rFonts w:ascii="Calibri" w:hAnsi="Calibri"/>
          <w:b/>
          <w:bCs/>
          <w:color w:val="0D0D0D" w:themeColor="text1" w:themeTint="F2"/>
          <w:sz w:val="22"/>
          <w:bdr w:val="none" w:sz="0" w:space="0" w:color="auto" w:frame="1"/>
          <w:lang w:val="fr-FR"/>
        </w:rPr>
        <w:t> </w:t>
      </w:r>
      <w:r w:rsidRPr="00456C8C">
        <w:rPr>
          <w:rFonts w:ascii="Calibri" w:hAnsi="Calibri"/>
          <w:b/>
          <w:bCs/>
          <w:color w:val="0D0D0D" w:themeColor="text1" w:themeTint="F2"/>
          <w:sz w:val="22"/>
          <w:bdr w:val="none" w:sz="0" w:space="0" w:color="auto" w:frame="1"/>
          <w:lang w:val="fr-FR"/>
        </w:rPr>
        <w:t xml:space="preserve">» - le </w:t>
      </w:r>
      <w:r w:rsidRPr="00256265">
        <w:rPr>
          <w:rFonts w:ascii="Calibri" w:hAnsi="Calibri"/>
          <w:b/>
          <w:bCs/>
          <w:color w:val="0D0D0D" w:themeColor="text1" w:themeTint="F2"/>
          <w:sz w:val="22"/>
          <w:bdr w:val="none" w:sz="0" w:space="0" w:color="auto" w:frame="1"/>
          <w:lang w:val="fr-FR"/>
        </w:rPr>
        <w:t xml:space="preserve">fournisseur international de techniques pour l'événementiel ouvre ainsi </w:t>
      </w:r>
      <w:r w:rsidRPr="00456C8C">
        <w:rPr>
          <w:rFonts w:ascii="Calibri" w:hAnsi="Calibri"/>
          <w:b/>
          <w:bCs/>
          <w:color w:val="0D0D0D" w:themeColor="text1" w:themeTint="F2"/>
          <w:sz w:val="22"/>
          <w:bdr w:val="none" w:sz="0" w:space="0" w:color="auto" w:frame="1"/>
          <w:lang w:val="fr-FR"/>
        </w:rPr>
        <w:t>une nouvelle voie pour la préservation de l'industrie du son et de la musique en ces temps difficiles</w:t>
      </w:r>
      <w:r w:rsidRPr="00256265">
        <w:rPr>
          <w:rFonts w:ascii="Calibri" w:hAnsi="Calibri"/>
          <w:b/>
          <w:bCs/>
          <w:color w:val="0D0D0D" w:themeColor="text1" w:themeTint="F2"/>
          <w:sz w:val="22"/>
          <w:bdr w:val="none" w:sz="0" w:space="0" w:color="auto" w:frame="1"/>
          <w:lang w:val="fr-FR"/>
        </w:rPr>
        <w:t>.</w:t>
      </w:r>
    </w:p>
    <w:p w14:paraId="2B5CA6D3" w14:textId="0DB54147" w:rsidR="00184D8B" w:rsidRPr="00456C8C" w:rsidRDefault="00184D8B" w:rsidP="00456C8C">
      <w:pPr>
        <w:jc w:val="both"/>
        <w:rPr>
          <w:rFonts w:ascii="Calibri" w:hAnsi="Calibri"/>
          <w:color w:val="0D0D0D" w:themeColor="text1" w:themeTint="F2"/>
          <w:sz w:val="22"/>
          <w:bdr w:val="none" w:sz="0" w:space="0" w:color="auto" w:frame="1"/>
          <w:lang w:val="fr-FR"/>
        </w:rPr>
      </w:pPr>
    </w:p>
    <w:p w14:paraId="7D95EC3F" w14:textId="75050608" w:rsidR="00060E88" w:rsidRPr="00256265" w:rsidRDefault="00280A79" w:rsidP="00456C8C">
      <w:pPr>
        <w:jc w:val="both"/>
        <w:rPr>
          <w:rFonts w:ascii="Calibri" w:hAnsi="Calibri"/>
          <w:sz w:val="22"/>
          <w:bdr w:val="none" w:sz="0" w:space="0" w:color="auto" w:frame="1"/>
          <w:lang w:val="fr-FR"/>
        </w:rPr>
      </w:pPr>
      <w:r w:rsidRPr="00256265">
        <w:rPr>
          <w:rFonts w:ascii="Calibri" w:hAnsi="Calibri"/>
          <w:sz w:val="22"/>
          <w:bdr w:val="none" w:sz="0" w:space="0" w:color="auto" w:frame="1"/>
          <w:lang w:val="en"/>
        </w:rPr>
        <w:t xml:space="preserve">Believe in Music – Believe in Live. </w:t>
      </w:r>
      <w:r w:rsidRPr="00256265">
        <w:rPr>
          <w:rFonts w:ascii="Calibri" w:hAnsi="Calibri"/>
          <w:sz w:val="22"/>
          <w:bdr w:val="none" w:sz="0" w:space="0" w:color="auto" w:frame="1"/>
          <w:lang w:val="fr-FR"/>
        </w:rPr>
        <w:t>Un an seulement après le début de la pandémie de coronavirus, Adam Hall Group croit fermement en l'avenir des événements en live. En participant au salon numérique Winter NAMM 2021, l'entreprise spécialisée dans les techniques de l'événementiel, dont le siège se trouve en Allemagne, pose un nouveau jalon et renforce l'importance des événements virtuels en complément des formats événementiels traditionnels.</w:t>
      </w:r>
    </w:p>
    <w:p w14:paraId="3286996E" w14:textId="70B8D944" w:rsidR="000D6A21" w:rsidRPr="00256265" w:rsidRDefault="000D6A21" w:rsidP="00456C8C">
      <w:pPr>
        <w:jc w:val="both"/>
        <w:rPr>
          <w:rFonts w:ascii="Calibri" w:hAnsi="Calibri"/>
          <w:sz w:val="22"/>
          <w:bdr w:val="none" w:sz="0" w:space="0" w:color="auto" w:frame="1"/>
          <w:lang w:val="fr-FR"/>
        </w:rPr>
      </w:pPr>
    </w:p>
    <w:p w14:paraId="7E73EA67" w14:textId="19C102CC" w:rsidR="000D6A21" w:rsidRPr="00256265" w:rsidRDefault="00292597" w:rsidP="00456C8C">
      <w:pPr>
        <w:jc w:val="both"/>
        <w:rPr>
          <w:rFonts w:ascii="Calibri" w:hAnsi="Calibri"/>
          <w:sz w:val="22"/>
          <w:bdr w:val="none" w:sz="0" w:space="0" w:color="auto" w:frame="1"/>
          <w:lang w:val="fr-FR"/>
        </w:rPr>
      </w:pPr>
      <w:r w:rsidRPr="00256265">
        <w:rPr>
          <w:rFonts w:ascii="Calibri" w:hAnsi="Calibri"/>
          <w:sz w:val="22"/>
          <w:bdr w:val="none" w:sz="0" w:space="0" w:color="auto" w:frame="1"/>
          <w:lang w:val="fr-FR"/>
        </w:rPr>
        <w:t xml:space="preserve">Cette année encore, les groupes, les musiciens, les producteurs et les techniciens événementiels peuvent se </w:t>
      </w:r>
      <w:proofErr w:type="gramStart"/>
      <w:r w:rsidRPr="00256265">
        <w:rPr>
          <w:rFonts w:ascii="Calibri" w:hAnsi="Calibri"/>
          <w:sz w:val="22"/>
          <w:bdr w:val="none" w:sz="0" w:space="0" w:color="auto" w:frame="1"/>
          <w:lang w:val="fr-FR"/>
        </w:rPr>
        <w:t>réjouir</w:t>
      </w:r>
      <w:proofErr w:type="gramEnd"/>
      <w:r w:rsidRPr="00256265">
        <w:rPr>
          <w:rFonts w:ascii="Calibri" w:hAnsi="Calibri"/>
          <w:sz w:val="22"/>
          <w:bdr w:val="none" w:sz="0" w:space="0" w:color="auto" w:frame="1"/>
          <w:lang w:val="fr-FR"/>
        </w:rPr>
        <w:t xml:space="preserve"> de découvrir de nombreuses nouveautés. Les points forts d'Adam Hall Group au salon Winter NAMM 2021 :</w:t>
      </w:r>
    </w:p>
    <w:p w14:paraId="26F505D3" w14:textId="77777777" w:rsidR="00060E88" w:rsidRPr="00256265" w:rsidRDefault="00060E88" w:rsidP="00456C8C">
      <w:pPr>
        <w:jc w:val="both"/>
        <w:rPr>
          <w:rFonts w:ascii="Calibri" w:hAnsi="Calibri"/>
          <w:sz w:val="22"/>
          <w:bdr w:val="none" w:sz="0" w:space="0" w:color="auto" w:frame="1"/>
          <w:lang w:val="fr-FR"/>
        </w:rPr>
      </w:pPr>
    </w:p>
    <w:p w14:paraId="1C78C213" w14:textId="04A595B6" w:rsidR="00DC691D" w:rsidRPr="00256265" w:rsidRDefault="00075386" w:rsidP="00456C8C">
      <w:pPr>
        <w:jc w:val="both"/>
        <w:rPr>
          <w:rFonts w:ascii="Calibri" w:hAnsi="Calibri"/>
          <w:b/>
          <w:bCs/>
          <w:sz w:val="22"/>
          <w:bdr w:val="none" w:sz="0" w:space="0" w:color="auto" w:frame="1"/>
          <w:lang w:val="fr-FR"/>
        </w:rPr>
      </w:pPr>
      <w:r w:rsidRPr="00256265">
        <w:rPr>
          <w:rFonts w:ascii="Calibri" w:hAnsi="Calibri"/>
          <w:b/>
          <w:bCs/>
          <w:sz w:val="22"/>
          <w:bdr w:val="none" w:sz="0" w:space="0" w:color="auto" w:frame="1"/>
          <w:lang w:val="fr-FR"/>
        </w:rPr>
        <w:t>MAUI 44 G2 de LD</w:t>
      </w:r>
      <w:r w:rsidRPr="00256265">
        <w:rPr>
          <w:rFonts w:ascii="Calibri" w:hAnsi="Calibri"/>
          <w:sz w:val="22"/>
          <w:bdr w:val="none" w:sz="0" w:space="0" w:color="auto" w:frame="1"/>
          <w:lang w:val="fr-FR"/>
        </w:rPr>
        <w:t> </w:t>
      </w:r>
      <w:proofErr w:type="spellStart"/>
      <w:r w:rsidRPr="00256265">
        <w:rPr>
          <w:rFonts w:ascii="Calibri" w:hAnsi="Calibri"/>
          <w:b/>
          <w:bCs/>
          <w:sz w:val="22"/>
          <w:bdr w:val="none" w:sz="0" w:space="0" w:color="auto" w:frame="1"/>
          <w:lang w:val="fr-FR"/>
        </w:rPr>
        <w:t>Systems</w:t>
      </w:r>
      <w:proofErr w:type="spellEnd"/>
      <w:r w:rsidRPr="00256265">
        <w:rPr>
          <w:rFonts w:ascii="Calibri" w:hAnsi="Calibri"/>
          <w:b/>
          <w:bCs/>
          <w:sz w:val="22"/>
          <w:bdr w:val="none" w:sz="0" w:space="0" w:color="auto" w:frame="1"/>
          <w:lang w:val="fr-FR"/>
        </w:rPr>
        <w:t xml:space="preserve"> - Le nouveau fleuron de la série MAUI</w:t>
      </w:r>
    </w:p>
    <w:p w14:paraId="6F48CA0B" w14:textId="62B1CC8E" w:rsidR="00C41949" w:rsidRPr="00256265" w:rsidRDefault="00C41949" w:rsidP="00456C8C">
      <w:pPr>
        <w:jc w:val="both"/>
        <w:rPr>
          <w:rFonts w:ascii="Calibri" w:hAnsi="Calibri" w:cs="Calibri"/>
          <w:sz w:val="22"/>
          <w:szCs w:val="22"/>
          <w:lang w:val="fr-FR"/>
        </w:rPr>
      </w:pPr>
      <w:r w:rsidRPr="00256265">
        <w:rPr>
          <w:rFonts w:ascii="Calibri" w:hAnsi="Calibri" w:cs="Calibri"/>
          <w:sz w:val="22"/>
          <w:szCs w:val="22"/>
          <w:lang w:val="fr-FR"/>
        </w:rPr>
        <w:t>Grâce au système de sonorisation en colonne actif MAUI® 44 G2, les musiciens solo, les petits groupes, les DJ et les artistes amateurs peuvent également profiter des possibilités offertes par un système cardioïde performant avec une pression acoustique élevée, sans avoir à subir intégralement les nuisances sonores sur scène. Le MAUI 44 G2 est le produit phare de la série MAUI avec 1 500 watts RMS (RMS), 132 dB en crête, Bluetooth® (</w:t>
      </w:r>
      <w:proofErr w:type="spellStart"/>
      <w:r w:rsidRPr="00256265">
        <w:rPr>
          <w:rFonts w:ascii="Calibri" w:hAnsi="Calibri" w:cs="Calibri"/>
          <w:sz w:val="22"/>
          <w:szCs w:val="22"/>
          <w:lang w:val="fr-FR"/>
        </w:rPr>
        <w:t>aptX</w:t>
      </w:r>
      <w:proofErr w:type="spellEnd"/>
      <w:r w:rsidRPr="00256265">
        <w:rPr>
          <w:rFonts w:ascii="Calibri" w:hAnsi="Calibri" w:cs="Calibri"/>
          <w:sz w:val="22"/>
          <w:szCs w:val="22"/>
          <w:lang w:val="fr-FR"/>
        </w:rPr>
        <w:t xml:space="preserve">™ &amp; AAC) et la technologie </w:t>
      </w:r>
      <w:proofErr w:type="spellStart"/>
      <w:r w:rsidRPr="00256265">
        <w:rPr>
          <w:rFonts w:ascii="Calibri" w:hAnsi="Calibri" w:cs="Calibri"/>
          <w:sz w:val="22"/>
          <w:szCs w:val="22"/>
          <w:lang w:val="fr-FR"/>
        </w:rPr>
        <w:t>TrueWireless</w:t>
      </w:r>
      <w:proofErr w:type="spellEnd"/>
      <w:r w:rsidRPr="00256265">
        <w:rPr>
          <w:rFonts w:ascii="Calibri" w:hAnsi="Calibri" w:cs="Calibri"/>
          <w:sz w:val="22"/>
          <w:szCs w:val="22"/>
          <w:lang w:val="fr-FR"/>
        </w:rPr>
        <w:t xml:space="preserve"> </w:t>
      </w:r>
      <w:proofErr w:type="spellStart"/>
      <w:r w:rsidRPr="00256265">
        <w:rPr>
          <w:rFonts w:ascii="Calibri" w:hAnsi="Calibri" w:cs="Calibri"/>
          <w:sz w:val="22"/>
          <w:szCs w:val="22"/>
          <w:lang w:val="fr-FR"/>
        </w:rPr>
        <w:t>Stereo</w:t>
      </w:r>
      <w:proofErr w:type="spellEnd"/>
      <w:r w:rsidRPr="00256265">
        <w:rPr>
          <w:rFonts w:ascii="Calibri" w:hAnsi="Calibri" w:cs="Calibri"/>
          <w:sz w:val="22"/>
          <w:szCs w:val="22"/>
          <w:lang w:val="fr-FR"/>
        </w:rPr>
        <w:t>™ pour un système stéréo sans fil composé de deux MAUI 44 G2.</w:t>
      </w:r>
    </w:p>
    <w:p w14:paraId="7EDF1018" w14:textId="77777777" w:rsidR="00C638B9" w:rsidRPr="00256265" w:rsidRDefault="00C638B9" w:rsidP="00456C8C">
      <w:pPr>
        <w:jc w:val="both"/>
        <w:rPr>
          <w:rFonts w:ascii="Calibri" w:hAnsi="Calibri"/>
          <w:sz w:val="22"/>
          <w:bdr w:val="none" w:sz="0" w:space="0" w:color="auto" w:frame="1"/>
          <w:lang w:val="fr-FR"/>
        </w:rPr>
      </w:pPr>
    </w:p>
    <w:p w14:paraId="21D3F640" w14:textId="3D5C75A7" w:rsidR="00873B01" w:rsidRPr="00256265" w:rsidRDefault="00873B01" w:rsidP="00456C8C">
      <w:pPr>
        <w:jc w:val="both"/>
        <w:rPr>
          <w:rStyle w:val="Fett"/>
          <w:rFonts w:ascii="Calibri" w:hAnsi="Calibri" w:cs="Calibri"/>
          <w:sz w:val="22"/>
          <w:szCs w:val="22"/>
          <w:bdr w:val="none" w:sz="0" w:space="0" w:color="auto" w:frame="1"/>
          <w:lang w:val="en-GB"/>
        </w:rPr>
      </w:pPr>
      <w:r w:rsidRPr="00256265">
        <w:rPr>
          <w:rStyle w:val="Fett"/>
          <w:rFonts w:ascii="Calibri" w:hAnsi="Calibri" w:cs="Calibri"/>
          <w:sz w:val="22"/>
          <w:szCs w:val="22"/>
          <w:bdr w:val="none" w:sz="0" w:space="0" w:color="auto" w:frame="1"/>
          <w:lang w:val="en"/>
        </w:rPr>
        <w:t>Série ICOA de LD</w:t>
      </w:r>
      <w:r w:rsidRPr="00256265">
        <w:rPr>
          <w:rStyle w:val="Fett"/>
          <w:rFonts w:ascii="Calibri" w:hAnsi="Calibri" w:cs="Calibri"/>
          <w:b w:val="0"/>
          <w:bCs w:val="0"/>
          <w:sz w:val="22"/>
          <w:szCs w:val="22"/>
          <w:bdr w:val="none" w:sz="0" w:space="0" w:color="auto" w:frame="1"/>
          <w:lang w:val="en"/>
        </w:rPr>
        <w:t> </w:t>
      </w:r>
      <w:r w:rsidRPr="00256265">
        <w:rPr>
          <w:rStyle w:val="Fett"/>
          <w:rFonts w:ascii="Calibri" w:hAnsi="Calibri" w:cs="Calibri"/>
          <w:sz w:val="22"/>
          <w:szCs w:val="22"/>
          <w:bdr w:val="none" w:sz="0" w:space="0" w:color="auto" w:frame="1"/>
          <w:lang w:val="en"/>
        </w:rPr>
        <w:t>Systems - All about that bass</w:t>
      </w:r>
    </w:p>
    <w:p w14:paraId="6427059C" w14:textId="61C0004B" w:rsidR="00F711E1" w:rsidRPr="00256265" w:rsidRDefault="00AA7C53" w:rsidP="00456C8C">
      <w:pPr>
        <w:jc w:val="both"/>
        <w:rPr>
          <w:lang w:val="fr-FR"/>
        </w:rPr>
      </w:pPr>
      <w:r w:rsidRPr="00256265">
        <w:rPr>
          <w:rFonts w:ascii="Calibri" w:hAnsi="Calibri" w:cs="Calibri"/>
          <w:sz w:val="22"/>
          <w:szCs w:val="22"/>
          <w:lang w:val="fr-FR"/>
        </w:rPr>
        <w:t>Depuis son lancement sur le marché l’an dernier, la série ICOA® de LD </w:t>
      </w:r>
      <w:proofErr w:type="spellStart"/>
      <w:r w:rsidRPr="00256265">
        <w:rPr>
          <w:rFonts w:ascii="Calibri" w:hAnsi="Calibri" w:cs="Calibri"/>
          <w:sz w:val="22"/>
          <w:szCs w:val="22"/>
          <w:lang w:val="fr-FR"/>
        </w:rPr>
        <w:t>Systems</w:t>
      </w:r>
      <w:proofErr w:type="spellEnd"/>
      <w:r w:rsidRPr="00256265">
        <w:rPr>
          <w:rFonts w:ascii="Calibri" w:hAnsi="Calibri" w:cs="Calibri"/>
          <w:sz w:val="22"/>
          <w:szCs w:val="22"/>
          <w:lang w:val="fr-FR"/>
        </w:rPr>
        <w:t xml:space="preserve"> s’est </w:t>
      </w:r>
      <w:proofErr w:type="gramStart"/>
      <w:r w:rsidRPr="00256265">
        <w:rPr>
          <w:rFonts w:ascii="Calibri" w:hAnsi="Calibri" w:cs="Calibri"/>
          <w:sz w:val="22"/>
          <w:szCs w:val="22"/>
          <w:lang w:val="fr-FR"/>
        </w:rPr>
        <w:t>développée</w:t>
      </w:r>
      <w:proofErr w:type="gramEnd"/>
      <w:r w:rsidRPr="00256265">
        <w:rPr>
          <w:rFonts w:ascii="Calibri" w:hAnsi="Calibri" w:cs="Calibri"/>
          <w:sz w:val="22"/>
          <w:szCs w:val="22"/>
          <w:lang w:val="fr-FR"/>
        </w:rPr>
        <w:t xml:space="preserve"> et imposée comme produit permanent dans la gamme de produits de sonorisation des groupes et des techniciens du son. Outre les </w:t>
      </w:r>
      <w:r w:rsidR="00456C8C" w:rsidRPr="00256265">
        <w:rPr>
          <w:rFonts w:ascii="Calibri" w:hAnsi="Calibri" w:cs="Calibri"/>
          <w:sz w:val="22"/>
          <w:szCs w:val="22"/>
          <w:lang w:val="fr-FR"/>
        </w:rPr>
        <w:t>enceintes coaxiales actives ou passives</w:t>
      </w:r>
      <w:r w:rsidRPr="00256265">
        <w:rPr>
          <w:rFonts w:ascii="Calibri" w:hAnsi="Calibri" w:cs="Calibri"/>
          <w:sz w:val="22"/>
          <w:szCs w:val="22"/>
          <w:lang w:val="fr-FR"/>
        </w:rPr>
        <w:t xml:space="preserve"> ICOA 12 et 15, également disponibles en version BT avec diffusion via Bluetooth®, la série ICOA comprend également deux caissons de basses actifs </w:t>
      </w:r>
      <w:proofErr w:type="spellStart"/>
      <w:r w:rsidRPr="00256265">
        <w:rPr>
          <w:rFonts w:ascii="Calibri" w:hAnsi="Calibri" w:cs="Calibri"/>
          <w:sz w:val="22"/>
          <w:szCs w:val="22"/>
          <w:lang w:val="fr-FR"/>
        </w:rPr>
        <w:t>Bassreflex</w:t>
      </w:r>
      <w:proofErr w:type="spellEnd"/>
      <w:r w:rsidRPr="00256265">
        <w:rPr>
          <w:rFonts w:ascii="Calibri" w:hAnsi="Calibri" w:cs="Calibri"/>
          <w:sz w:val="22"/>
          <w:szCs w:val="22"/>
          <w:lang w:val="fr-FR"/>
        </w:rPr>
        <w:t xml:space="preserve"> de 15ʺ et 18ʺ. </w:t>
      </w:r>
      <w:r w:rsidR="00456C8C" w:rsidRPr="00256265">
        <w:rPr>
          <w:rFonts w:ascii="Calibri" w:hAnsi="Calibri" w:cs="Calibri"/>
          <w:sz w:val="22"/>
          <w:szCs w:val="22"/>
          <w:lang w:val="fr-FR"/>
        </w:rPr>
        <w:t>Ces enceintes</w:t>
      </w:r>
      <w:r w:rsidRPr="00256265">
        <w:rPr>
          <w:rFonts w:ascii="Calibri" w:hAnsi="Calibri" w:cs="Calibri"/>
          <w:sz w:val="22"/>
          <w:szCs w:val="22"/>
          <w:lang w:val="fr-FR"/>
        </w:rPr>
        <w:t xml:space="preserve"> full range sont également disponibles en blanc pour une utilisation fixe. Le montage mural à la verticale ou à l’horizontale s'effectue à l’aide d'un support mural à système </w:t>
      </w:r>
      <w:proofErr w:type="spellStart"/>
      <w:r w:rsidRPr="00256265">
        <w:rPr>
          <w:rFonts w:ascii="Calibri" w:hAnsi="Calibri" w:cs="Calibri"/>
          <w:sz w:val="22"/>
          <w:szCs w:val="22"/>
          <w:lang w:val="fr-FR"/>
        </w:rPr>
        <w:t>Easy</w:t>
      </w:r>
      <w:proofErr w:type="spellEnd"/>
      <w:r w:rsidRPr="00256265">
        <w:rPr>
          <w:rFonts w:ascii="Calibri" w:hAnsi="Calibri" w:cs="Calibri"/>
          <w:sz w:val="22"/>
          <w:szCs w:val="22"/>
          <w:lang w:val="fr-FR"/>
        </w:rPr>
        <w:t>-Click et d'un chemin de câbles propre.</w:t>
      </w:r>
    </w:p>
    <w:p w14:paraId="2CE0DA1E" w14:textId="036835C5" w:rsidR="00094864" w:rsidRPr="00256265" w:rsidRDefault="00094864" w:rsidP="00456C8C">
      <w:pPr>
        <w:jc w:val="both"/>
        <w:rPr>
          <w:rFonts w:ascii="Calibri" w:hAnsi="Calibri" w:cs="Calibri"/>
          <w:sz w:val="22"/>
          <w:szCs w:val="22"/>
          <w:bdr w:val="none" w:sz="0" w:space="0" w:color="auto" w:frame="1"/>
          <w:lang w:val="fr-FR"/>
        </w:rPr>
      </w:pPr>
    </w:p>
    <w:p w14:paraId="46885820" w14:textId="77777777" w:rsidR="00B17674" w:rsidRPr="00256265" w:rsidRDefault="00B17674" w:rsidP="00456C8C">
      <w:pPr>
        <w:jc w:val="both"/>
        <w:rPr>
          <w:rFonts w:ascii="Calibri" w:hAnsi="Calibri" w:cs="Calibri"/>
          <w:b/>
          <w:bCs/>
          <w:sz w:val="22"/>
          <w:szCs w:val="22"/>
          <w:lang w:val="fr-FR"/>
        </w:rPr>
      </w:pPr>
    </w:p>
    <w:p w14:paraId="43F04E89" w14:textId="77777777" w:rsidR="00B17674" w:rsidRPr="00256265" w:rsidRDefault="00B17674" w:rsidP="00456C8C">
      <w:pPr>
        <w:jc w:val="both"/>
        <w:rPr>
          <w:rFonts w:ascii="Calibri" w:hAnsi="Calibri" w:cs="Calibri"/>
          <w:b/>
          <w:bCs/>
          <w:sz w:val="22"/>
          <w:szCs w:val="22"/>
          <w:lang w:val="fr-FR"/>
        </w:rPr>
      </w:pPr>
    </w:p>
    <w:p w14:paraId="64B6CAB3" w14:textId="77A9B0CB" w:rsidR="00651466" w:rsidRPr="00256265" w:rsidRDefault="00651466" w:rsidP="00456C8C">
      <w:pPr>
        <w:jc w:val="both"/>
        <w:rPr>
          <w:rFonts w:ascii="Calibri" w:hAnsi="Calibri" w:cs="Calibri"/>
          <w:b/>
          <w:bCs/>
          <w:sz w:val="22"/>
          <w:szCs w:val="22"/>
          <w:lang w:val="fr-FR"/>
        </w:rPr>
      </w:pPr>
      <w:r w:rsidRPr="00256265">
        <w:rPr>
          <w:rFonts w:ascii="Calibri" w:hAnsi="Calibri" w:cs="Calibri"/>
          <w:b/>
          <w:bCs/>
          <w:sz w:val="22"/>
          <w:szCs w:val="22"/>
          <w:lang w:val="fr-FR"/>
        </w:rPr>
        <w:t xml:space="preserve">Systèmes de micro sans fil U300 de LD </w:t>
      </w:r>
      <w:proofErr w:type="spellStart"/>
      <w:r w:rsidRPr="00256265">
        <w:rPr>
          <w:rFonts w:ascii="Calibri" w:hAnsi="Calibri" w:cs="Calibri"/>
          <w:b/>
          <w:bCs/>
          <w:sz w:val="22"/>
          <w:szCs w:val="22"/>
          <w:lang w:val="fr-FR"/>
        </w:rPr>
        <w:t>Systems</w:t>
      </w:r>
      <w:proofErr w:type="spellEnd"/>
      <w:r w:rsidRPr="00256265">
        <w:rPr>
          <w:rFonts w:ascii="Calibri" w:hAnsi="Calibri" w:cs="Calibri"/>
          <w:b/>
          <w:bCs/>
          <w:sz w:val="22"/>
          <w:szCs w:val="22"/>
          <w:lang w:val="fr-FR"/>
        </w:rPr>
        <w:t xml:space="preserve"> – Nothing Compares To U</w:t>
      </w:r>
    </w:p>
    <w:p w14:paraId="538B2F62" w14:textId="04A5C20F" w:rsidR="00651466" w:rsidRPr="00256265" w:rsidRDefault="00651466" w:rsidP="00456C8C">
      <w:pPr>
        <w:jc w:val="both"/>
        <w:rPr>
          <w:rFonts w:ascii="Calibri" w:hAnsi="Calibri" w:cs="Calibri"/>
          <w:sz w:val="22"/>
          <w:szCs w:val="22"/>
          <w:lang w:val="fr-FR"/>
        </w:rPr>
      </w:pPr>
      <w:r w:rsidRPr="00256265">
        <w:rPr>
          <w:rFonts w:ascii="Calibri" w:hAnsi="Calibri" w:cs="Calibri"/>
          <w:sz w:val="22"/>
          <w:szCs w:val="22"/>
          <w:lang w:val="fr-FR"/>
        </w:rPr>
        <w:t xml:space="preserve">Selon l’application, les </w:t>
      </w:r>
      <w:r w:rsidRPr="00256265">
        <w:rPr>
          <w:rFonts w:ascii="Calibri" w:hAnsi="Calibri" w:cs="Calibri"/>
          <w:sz w:val="22"/>
          <w:szCs w:val="22"/>
          <w:shd w:val="clear" w:color="auto" w:fill="FFFFFF"/>
          <w:lang w:val="fr-FR"/>
        </w:rPr>
        <w:t xml:space="preserve">systèmes sans fil UHF Diversity </w:t>
      </w:r>
      <w:r w:rsidRPr="00256265">
        <w:rPr>
          <w:rFonts w:ascii="Calibri" w:hAnsi="Calibri" w:cs="Calibri"/>
          <w:sz w:val="22"/>
          <w:szCs w:val="22"/>
          <w:lang w:val="fr-FR"/>
        </w:rPr>
        <w:t>de la série U300</w:t>
      </w:r>
      <w:r w:rsidRPr="00256265">
        <w:rPr>
          <w:lang w:val="fr-FR"/>
        </w:rPr>
        <w:t xml:space="preserve"> sont disponibles</w:t>
      </w:r>
      <w:r w:rsidRPr="00256265">
        <w:rPr>
          <w:rFonts w:ascii="Calibri" w:hAnsi="Calibri" w:cs="Calibri"/>
          <w:sz w:val="22"/>
          <w:szCs w:val="22"/>
          <w:shd w:val="clear" w:color="auto" w:fill="FFFFFF"/>
          <w:lang w:val="fr-FR"/>
        </w:rPr>
        <w:t xml:space="preserve"> sous la forme d’un ensemble de deux émetteurs à main dynamiques ou d’une version avec émetteurs ceinture et de deux </w:t>
      </w:r>
      <w:proofErr w:type="gramStart"/>
      <w:r w:rsidRPr="00256265">
        <w:rPr>
          <w:rFonts w:ascii="Calibri" w:hAnsi="Calibri" w:cs="Calibri"/>
          <w:sz w:val="22"/>
          <w:szCs w:val="22"/>
          <w:shd w:val="clear" w:color="auto" w:fill="FFFFFF"/>
          <w:lang w:val="fr-FR"/>
        </w:rPr>
        <w:t>micros serre-tête</w:t>
      </w:r>
      <w:proofErr w:type="gramEnd"/>
      <w:r w:rsidRPr="00256265">
        <w:rPr>
          <w:rFonts w:ascii="Calibri" w:hAnsi="Calibri" w:cs="Calibri"/>
          <w:sz w:val="22"/>
          <w:szCs w:val="22"/>
          <w:shd w:val="clear" w:color="auto" w:fill="FFFFFF"/>
          <w:lang w:val="fr-FR"/>
        </w:rPr>
        <w:t xml:space="preserve">. Les sorties des récepteurs peuvent être commutées entre le niveau de ligne symétrique et le niveau sonore de l’instrument asymétrique. Une puissance d’émission de 10 mW, un circuit de </w:t>
      </w:r>
      <w:proofErr w:type="spellStart"/>
      <w:r w:rsidRPr="00256265">
        <w:rPr>
          <w:rFonts w:ascii="Calibri" w:hAnsi="Calibri" w:cs="Calibri"/>
          <w:sz w:val="22"/>
          <w:szCs w:val="22"/>
          <w:shd w:val="clear" w:color="auto" w:fill="FFFFFF"/>
          <w:lang w:val="fr-FR"/>
        </w:rPr>
        <w:t>squelch</w:t>
      </w:r>
      <w:proofErr w:type="spellEnd"/>
      <w:r w:rsidRPr="00256265">
        <w:rPr>
          <w:rFonts w:ascii="Calibri" w:hAnsi="Calibri" w:cs="Calibri"/>
          <w:sz w:val="22"/>
          <w:szCs w:val="22"/>
          <w:shd w:val="clear" w:color="auto" w:fill="FFFFFF"/>
          <w:lang w:val="fr-FR"/>
        </w:rPr>
        <w:t xml:space="preserve"> efficace géré par signal pilote et une réponse en fréquence atteignant 25 Hz permettent également la transmission de guitares basses à 5 cordes en qualité audio professionnelle</w:t>
      </w:r>
      <w:r w:rsidRPr="00256265">
        <w:rPr>
          <w:lang w:val="fr-FR"/>
        </w:rPr>
        <w:t>.</w:t>
      </w:r>
      <w:r w:rsidRPr="00256265">
        <w:rPr>
          <w:rFonts w:ascii="Calibri" w:hAnsi="Calibri" w:cs="Calibri"/>
          <w:sz w:val="22"/>
          <w:szCs w:val="22"/>
          <w:lang w:val="fr-FR"/>
        </w:rPr>
        <w:t xml:space="preserve"> </w:t>
      </w:r>
      <w:r w:rsidRPr="00256265">
        <w:rPr>
          <w:rFonts w:ascii="Calibri" w:hAnsi="Calibri" w:cs="Calibri"/>
          <w:sz w:val="22"/>
          <w:szCs w:val="22"/>
          <w:shd w:val="clear" w:color="auto" w:fill="FFFFFF"/>
          <w:lang w:val="fr-FR"/>
        </w:rPr>
        <w:t>Grâce à la synchronisation pratique par infrarouge One-</w:t>
      </w:r>
      <w:proofErr w:type="spellStart"/>
      <w:r w:rsidRPr="00256265">
        <w:rPr>
          <w:rFonts w:ascii="Calibri" w:hAnsi="Calibri" w:cs="Calibri"/>
          <w:sz w:val="22"/>
          <w:szCs w:val="22"/>
          <w:shd w:val="clear" w:color="auto" w:fill="FFFFFF"/>
          <w:lang w:val="fr-FR"/>
        </w:rPr>
        <w:t>Touch</w:t>
      </w:r>
      <w:proofErr w:type="spellEnd"/>
      <w:r w:rsidRPr="00256265">
        <w:rPr>
          <w:rFonts w:ascii="Calibri" w:hAnsi="Calibri" w:cs="Calibri"/>
          <w:sz w:val="22"/>
          <w:szCs w:val="22"/>
          <w:shd w:val="clear" w:color="auto" w:fill="FFFFFF"/>
          <w:lang w:val="fr-FR"/>
        </w:rPr>
        <w:t xml:space="preserve">, les systèmes sans fil de la série U300 sont rapidement et facilement opérationnels. </w:t>
      </w:r>
    </w:p>
    <w:p w14:paraId="4FE37971" w14:textId="77777777" w:rsidR="00651466" w:rsidRPr="00256265" w:rsidRDefault="00651466" w:rsidP="00456C8C">
      <w:pPr>
        <w:jc w:val="both"/>
        <w:rPr>
          <w:rFonts w:ascii="Calibri" w:hAnsi="Calibri" w:cs="Calibri"/>
          <w:sz w:val="22"/>
          <w:szCs w:val="22"/>
          <w:bdr w:val="none" w:sz="0" w:space="0" w:color="auto" w:frame="1"/>
          <w:lang w:val="fr-FR"/>
        </w:rPr>
      </w:pPr>
    </w:p>
    <w:p w14:paraId="51AB57CC" w14:textId="5779CF36" w:rsidR="00651466" w:rsidRPr="00256265" w:rsidRDefault="00651466" w:rsidP="00456C8C">
      <w:pPr>
        <w:jc w:val="both"/>
        <w:rPr>
          <w:rFonts w:ascii="Calibri" w:hAnsi="Calibri" w:cs="Calibri"/>
          <w:b/>
          <w:bCs/>
          <w:sz w:val="22"/>
          <w:szCs w:val="22"/>
          <w:lang w:val="nl-NL"/>
        </w:rPr>
      </w:pPr>
      <w:r w:rsidRPr="00256265">
        <w:rPr>
          <w:rFonts w:ascii="Calibri" w:hAnsi="Calibri" w:cs="Calibri"/>
          <w:b/>
          <w:bCs/>
          <w:sz w:val="22"/>
          <w:szCs w:val="22"/>
          <w:lang w:val="nl-NL"/>
        </w:rPr>
        <w:t>U500® IEM de LD</w:t>
      </w:r>
      <w:r w:rsidRPr="00256265">
        <w:rPr>
          <w:rFonts w:ascii="Calibri" w:hAnsi="Calibri" w:cs="Calibri"/>
          <w:sz w:val="22"/>
          <w:szCs w:val="22"/>
          <w:lang w:val="nl-NL"/>
        </w:rPr>
        <w:t> </w:t>
      </w:r>
      <w:r w:rsidRPr="00256265">
        <w:rPr>
          <w:rFonts w:ascii="Calibri" w:hAnsi="Calibri" w:cs="Calibri"/>
          <w:b/>
          <w:bCs/>
          <w:sz w:val="22"/>
          <w:szCs w:val="22"/>
          <w:lang w:val="nl-NL"/>
        </w:rPr>
        <w:t>Systems - U feel it</w:t>
      </w:r>
    </w:p>
    <w:p w14:paraId="35540E38" w14:textId="7D5C076F" w:rsidR="00651466" w:rsidRPr="00256265" w:rsidRDefault="00651466" w:rsidP="00456C8C">
      <w:pPr>
        <w:jc w:val="both"/>
        <w:rPr>
          <w:rFonts w:ascii="Calibri" w:hAnsi="Calibri" w:cs="Calibri"/>
          <w:sz w:val="22"/>
          <w:szCs w:val="22"/>
          <w:lang w:val="fr-FR"/>
        </w:rPr>
      </w:pPr>
      <w:r w:rsidRPr="00256265">
        <w:rPr>
          <w:rFonts w:ascii="Calibri" w:hAnsi="Calibri"/>
          <w:sz w:val="22"/>
          <w:szCs w:val="22"/>
          <w:lang w:val="fr-FR"/>
        </w:rPr>
        <w:t>Les systèmes d’in-</w:t>
      </w:r>
      <w:proofErr w:type="spellStart"/>
      <w:r w:rsidRPr="00256265">
        <w:rPr>
          <w:rFonts w:ascii="Calibri" w:hAnsi="Calibri"/>
          <w:sz w:val="22"/>
          <w:szCs w:val="22"/>
          <w:lang w:val="fr-FR"/>
        </w:rPr>
        <w:t>ear</w:t>
      </w:r>
      <w:proofErr w:type="spellEnd"/>
      <w:r w:rsidRPr="00256265">
        <w:rPr>
          <w:rFonts w:ascii="Calibri" w:hAnsi="Calibri"/>
          <w:sz w:val="22"/>
          <w:szCs w:val="22"/>
          <w:lang w:val="fr-FR"/>
        </w:rPr>
        <w:t xml:space="preserve"> monitoring U500 ont une puissance d’émission commutable de 2 mW, 10 mW et 30 mW pour être pleinement opérationnels dans le monde entier. </w:t>
      </w:r>
      <w:r w:rsidRPr="00256265">
        <w:rPr>
          <w:rFonts w:ascii="Calibri" w:hAnsi="Calibri"/>
          <w:sz w:val="22"/>
          <w:szCs w:val="22"/>
          <w:bdr w:val="none" w:sz="0" w:space="0" w:color="auto" w:frame="1"/>
          <w:lang w:val="fr-FR"/>
        </w:rPr>
        <w:t xml:space="preserve">Grâce à leur transmission de signaux fiable jusqu'à 100 mètres, ces systèmes offrent une liberté de mouvement illimitée pour la majorité des applications. </w:t>
      </w:r>
      <w:r w:rsidRPr="00256265">
        <w:rPr>
          <w:rFonts w:ascii="Calibri" w:hAnsi="Calibri"/>
          <w:sz w:val="22"/>
          <w:szCs w:val="22"/>
          <w:lang w:val="fr-FR"/>
        </w:rPr>
        <w:t>Selon la bande de fréquences, il est possible d’exploiter jusqu’à douze systèmes en parallèle. La série U500® IEM est disponible en plusieurs versions avec ou sans casque d'écoute, en tant que système combiné et dans différentes plages de fréquences.</w:t>
      </w:r>
    </w:p>
    <w:p w14:paraId="64729A2A" w14:textId="77777777" w:rsidR="00651466" w:rsidRPr="00256265" w:rsidRDefault="00651466" w:rsidP="00456C8C">
      <w:pPr>
        <w:jc w:val="both"/>
        <w:rPr>
          <w:rFonts w:ascii="Titillium Lt" w:hAnsi="Titillium Lt" w:cs="Arial"/>
          <w:bCs/>
          <w:sz w:val="22"/>
          <w:szCs w:val="22"/>
          <w:lang w:val="fr-FR"/>
        </w:rPr>
      </w:pPr>
    </w:p>
    <w:p w14:paraId="56C10E56" w14:textId="476EAF54" w:rsidR="006D6521" w:rsidRPr="00256265" w:rsidRDefault="006D6521" w:rsidP="00456C8C">
      <w:pPr>
        <w:jc w:val="both"/>
        <w:rPr>
          <w:rFonts w:ascii="Calibri" w:eastAsia="Calibri" w:hAnsi="Calibri"/>
          <w:b/>
          <w:sz w:val="22"/>
          <w:bdr w:val="none" w:sz="0" w:space="0" w:color="auto" w:frame="1"/>
          <w:lang w:val="en-GB"/>
        </w:rPr>
      </w:pPr>
      <w:r w:rsidRPr="00256265">
        <w:rPr>
          <w:rFonts w:ascii="Calibri" w:eastAsia="Calibri" w:hAnsi="Calibri"/>
          <w:b/>
          <w:bCs/>
          <w:sz w:val="22"/>
          <w:bdr w:val="none" w:sz="0" w:space="0" w:color="auto" w:frame="1"/>
          <w:lang w:val="en"/>
        </w:rPr>
        <w:t>Série Gravity Touring - Tours Are Yours</w:t>
      </w:r>
    </w:p>
    <w:p w14:paraId="474FECDB" w14:textId="340A9C7F" w:rsidR="006D6521" w:rsidRPr="00256265" w:rsidRDefault="006D6521" w:rsidP="00456C8C">
      <w:pPr>
        <w:jc w:val="both"/>
        <w:rPr>
          <w:rFonts w:ascii="Calibri" w:hAnsi="Calibri"/>
          <w:sz w:val="22"/>
          <w:szCs w:val="22"/>
          <w:bdr w:val="none" w:sz="0" w:space="0" w:color="auto" w:frame="1"/>
          <w:lang w:val="fr-FR"/>
        </w:rPr>
      </w:pPr>
      <w:r w:rsidRPr="00256265">
        <w:rPr>
          <w:rFonts w:ascii="Calibri" w:hAnsi="Calibri"/>
          <w:sz w:val="22"/>
          <w:szCs w:val="22"/>
          <w:bdr w:val="none" w:sz="0" w:space="0" w:color="auto" w:frame="1"/>
          <w:lang w:val="fr-FR"/>
        </w:rPr>
        <w:t xml:space="preserve">Conçue pour durer, la série Touring de Gravity s’adresse aux clients professionnels des secteurs de la location et de la production de tournées, qui chaque jour mettent leurs pieds à rude épreuve : une stabilité maximale, des fonctions bien pensées et des détails innovants tels que des galets de réglage imperdables tout métal ou une fixation efficace de la potence de micro en seulement ¾ de tour. Tous ces détails reposent </w:t>
      </w:r>
      <w:r w:rsidRPr="00256265">
        <w:rPr>
          <w:rFonts w:ascii="Calibri" w:hAnsi="Calibri"/>
          <w:sz w:val="22"/>
          <w:szCs w:val="22"/>
          <w:lang w:val="fr-FR"/>
        </w:rPr>
        <w:t>sur d’innombrables expériences pratiques et commentaires de professionnels des secteurs de la location et de la production de tournées, des techniciens de scène aux magasiniers en passant par les directeurs techniques de grandes productions.</w:t>
      </w:r>
    </w:p>
    <w:p w14:paraId="784A558E" w14:textId="77777777" w:rsidR="006D6521" w:rsidRPr="00256265" w:rsidRDefault="006D6521" w:rsidP="00456C8C">
      <w:pPr>
        <w:jc w:val="both"/>
        <w:rPr>
          <w:rFonts w:ascii="Calibri" w:hAnsi="Calibri" w:cs="Calibri"/>
          <w:sz w:val="22"/>
          <w:szCs w:val="22"/>
          <w:lang w:val="fr-FR"/>
        </w:rPr>
      </w:pPr>
    </w:p>
    <w:p w14:paraId="585AD9A0" w14:textId="48260463" w:rsidR="00EC39C7" w:rsidRPr="00256265" w:rsidRDefault="00EC39C7" w:rsidP="00456C8C">
      <w:pPr>
        <w:jc w:val="both"/>
        <w:rPr>
          <w:rFonts w:ascii="Calibri" w:hAnsi="Calibri" w:cs="Calibri"/>
          <w:b/>
          <w:bCs/>
          <w:sz w:val="22"/>
          <w:szCs w:val="22"/>
          <w:lang w:val="fr-FR"/>
        </w:rPr>
      </w:pPr>
      <w:r w:rsidRPr="00256265">
        <w:rPr>
          <w:rFonts w:ascii="Calibri" w:hAnsi="Calibri" w:cs="Calibri"/>
          <w:b/>
          <w:bCs/>
          <w:sz w:val="22"/>
          <w:szCs w:val="22"/>
          <w:lang w:val="fr-FR"/>
        </w:rPr>
        <w:t>Série Gravity VARI</w:t>
      </w:r>
      <w:r w:rsidRPr="00256265">
        <w:rPr>
          <w:rFonts w:ascii="Calibri" w:hAnsi="Calibri" w:cs="Calibri"/>
          <w:sz w:val="22"/>
          <w:szCs w:val="22"/>
          <w:lang w:val="fr-FR"/>
        </w:rPr>
        <w:t>®</w:t>
      </w:r>
      <w:r w:rsidRPr="00256265">
        <w:rPr>
          <w:rFonts w:ascii="Calibri" w:hAnsi="Calibri" w:cs="Calibri"/>
          <w:b/>
          <w:bCs/>
          <w:sz w:val="22"/>
          <w:szCs w:val="22"/>
          <w:lang w:val="fr-FR"/>
        </w:rPr>
        <w:t>-G</w:t>
      </w:r>
    </w:p>
    <w:p w14:paraId="6020FB2B" w14:textId="58084693" w:rsidR="00EC39C7" w:rsidRPr="00256265" w:rsidRDefault="007C5B80" w:rsidP="00456C8C">
      <w:pPr>
        <w:jc w:val="both"/>
        <w:rPr>
          <w:rFonts w:ascii="Calibri" w:hAnsi="Calibri" w:cs="Calibri"/>
          <w:sz w:val="22"/>
          <w:szCs w:val="22"/>
          <w:lang w:val="fr-FR"/>
        </w:rPr>
      </w:pPr>
      <w:r w:rsidRPr="00256265">
        <w:rPr>
          <w:rFonts w:ascii="Calibri" w:hAnsi="Calibri" w:cs="Calibri"/>
          <w:sz w:val="22"/>
          <w:szCs w:val="22"/>
          <w:lang w:val="fr-FR"/>
        </w:rPr>
        <w:t xml:space="preserve">Le stand de guitare multiple VARI®-G existe en quatre versions pour 3, 5, 7 ou 9 instruments. Grâce aux appuie-manche facilement réglables et amovibles, les stands s'adaptent à toutes les guitares et </w:t>
      </w:r>
      <w:proofErr w:type="gramStart"/>
      <w:r w:rsidRPr="00256265">
        <w:rPr>
          <w:rFonts w:ascii="Calibri" w:hAnsi="Calibri" w:cs="Calibri"/>
          <w:sz w:val="22"/>
          <w:szCs w:val="22"/>
          <w:lang w:val="fr-FR"/>
        </w:rPr>
        <w:t>tous les basses</w:t>
      </w:r>
      <w:proofErr w:type="gramEnd"/>
      <w:r w:rsidRPr="00256265">
        <w:rPr>
          <w:rFonts w:ascii="Calibri" w:hAnsi="Calibri" w:cs="Calibri"/>
          <w:sz w:val="22"/>
          <w:szCs w:val="22"/>
          <w:lang w:val="fr-FR"/>
        </w:rPr>
        <w:t xml:space="preserve">. Toutes les zones de contact potentielles avec l'instrument sont matelassées pour éviter les rayures et les entailles. Les stands de guitare VARI®-G sont fabriqués en tubes d'acier robustes et thermolaqués. Ils se montent en un clin d'œil et se replient pour un transport aisé et </w:t>
      </w:r>
      <w:r w:rsidR="00456C8C" w:rsidRPr="00256265">
        <w:rPr>
          <w:rFonts w:ascii="Calibri" w:hAnsi="Calibri" w:cs="Calibri"/>
          <w:sz w:val="22"/>
          <w:szCs w:val="22"/>
          <w:lang w:val="fr-FR"/>
        </w:rPr>
        <w:t>peu</w:t>
      </w:r>
      <w:r w:rsidRPr="00256265">
        <w:rPr>
          <w:rFonts w:ascii="Calibri" w:hAnsi="Calibri" w:cs="Calibri"/>
          <w:sz w:val="22"/>
          <w:szCs w:val="22"/>
          <w:lang w:val="fr-FR"/>
        </w:rPr>
        <w:t xml:space="preserve"> encombrant.</w:t>
      </w:r>
    </w:p>
    <w:p w14:paraId="1B8331D2" w14:textId="3F306981" w:rsidR="00873B01" w:rsidRPr="00256265" w:rsidRDefault="00873B01" w:rsidP="00456C8C">
      <w:pPr>
        <w:jc w:val="both"/>
        <w:rPr>
          <w:rFonts w:ascii="Calibri" w:hAnsi="Calibri" w:cs="Calibri"/>
          <w:sz w:val="22"/>
          <w:szCs w:val="22"/>
          <w:bdr w:val="none" w:sz="0" w:space="0" w:color="auto" w:frame="1"/>
          <w:lang w:val="fr-FR"/>
        </w:rPr>
      </w:pPr>
    </w:p>
    <w:p w14:paraId="3F4C6084" w14:textId="666E16FD" w:rsidR="00873B01" w:rsidRPr="00256265" w:rsidRDefault="00873B01" w:rsidP="00456C8C">
      <w:pPr>
        <w:jc w:val="both"/>
        <w:rPr>
          <w:rFonts w:ascii="Calibri" w:hAnsi="Calibri" w:cs="Calibri"/>
          <w:b/>
          <w:bCs/>
          <w:sz w:val="22"/>
          <w:szCs w:val="22"/>
          <w:bdr w:val="none" w:sz="0" w:space="0" w:color="auto" w:frame="1"/>
          <w:lang w:val="fr-FR"/>
        </w:rPr>
      </w:pPr>
      <w:r w:rsidRPr="00256265">
        <w:rPr>
          <w:rFonts w:ascii="Calibri" w:hAnsi="Calibri" w:cs="Calibri"/>
          <w:b/>
          <w:bCs/>
          <w:sz w:val="22"/>
          <w:szCs w:val="22"/>
          <w:bdr w:val="none" w:sz="0" w:space="0" w:color="auto" w:frame="1"/>
          <w:lang w:val="fr-FR"/>
        </w:rPr>
        <w:t>Kit Gravity KSX 2 RD</w:t>
      </w:r>
    </w:p>
    <w:p w14:paraId="6A1A8B24" w14:textId="222F058D" w:rsidR="002A640C" w:rsidRPr="00256265" w:rsidRDefault="000A1D4B" w:rsidP="00456C8C">
      <w:pPr>
        <w:pStyle w:val="StandardWeb"/>
        <w:shd w:val="clear" w:color="auto" w:fill="FFFFFF"/>
        <w:spacing w:before="0" w:beforeAutospacing="0" w:after="0" w:afterAutospacing="0"/>
        <w:jc w:val="both"/>
        <w:rPr>
          <w:rFonts w:ascii="Calibri" w:hAnsi="Calibri" w:cs="Calibri"/>
          <w:sz w:val="22"/>
          <w:szCs w:val="22"/>
          <w:lang w:val="fr-FR"/>
        </w:rPr>
      </w:pPr>
      <w:r w:rsidRPr="00256265">
        <w:rPr>
          <w:rFonts w:ascii="Calibri" w:hAnsi="Calibri" w:cs="Calibri"/>
          <w:sz w:val="22"/>
          <w:szCs w:val="22"/>
          <w:lang w:val="fr-FR"/>
        </w:rPr>
        <w:t>Le kit KSX 2 RD de Gravity combine le stand pour clavier KSX 2 de Gravity avec double support en X et le Rapid Desk de Gravity. La table robuste en acier (48 cm de profondeur, 100 cm de largeur), qui se monte et se démonte en quelques gestes, permet des configurations personnalisées composées d'un ordinateur portable, d'un mixeur DJ, d'un contrôleur ou d'un petit synthétiseur en rack. Léger et mobile, l'ensemble composé d'un plan et d'un pied, peut supporter jusqu’à 60 kg et garantit un refroidissement optimal de l'équipement grâce à des fentes dans la surface.</w:t>
      </w:r>
    </w:p>
    <w:p w14:paraId="27C21070" w14:textId="5AFD5F45" w:rsidR="00873B01" w:rsidRPr="00256265" w:rsidRDefault="00873B01" w:rsidP="00456C8C">
      <w:pPr>
        <w:jc w:val="both"/>
        <w:rPr>
          <w:rFonts w:ascii="Calibri" w:hAnsi="Calibri"/>
          <w:sz w:val="22"/>
          <w:bdr w:val="none" w:sz="0" w:space="0" w:color="auto" w:frame="1"/>
          <w:lang w:val="fr-FR"/>
        </w:rPr>
      </w:pPr>
    </w:p>
    <w:p w14:paraId="508869EA" w14:textId="77777777" w:rsidR="00456C8C" w:rsidRPr="00256265" w:rsidRDefault="00456C8C" w:rsidP="00456C8C">
      <w:pPr>
        <w:jc w:val="both"/>
        <w:rPr>
          <w:rFonts w:ascii="Calibri" w:hAnsi="Calibri"/>
          <w:sz w:val="22"/>
          <w:bdr w:val="none" w:sz="0" w:space="0" w:color="auto" w:frame="1"/>
          <w:lang w:val="fr-FR"/>
        </w:rPr>
      </w:pPr>
    </w:p>
    <w:p w14:paraId="4569D5F8" w14:textId="77777777" w:rsidR="00873B01" w:rsidRPr="00256265" w:rsidRDefault="00873B01" w:rsidP="00456C8C">
      <w:pPr>
        <w:jc w:val="both"/>
        <w:rPr>
          <w:rFonts w:ascii="Calibri" w:hAnsi="Calibri" w:cs="Calibri"/>
          <w:b/>
          <w:bCs/>
          <w:sz w:val="22"/>
          <w:szCs w:val="22"/>
          <w:bdr w:val="none" w:sz="0" w:space="0" w:color="auto" w:frame="1"/>
          <w:lang w:val="fr-FR"/>
        </w:rPr>
      </w:pPr>
      <w:r w:rsidRPr="00256265">
        <w:rPr>
          <w:rFonts w:ascii="Calibri" w:hAnsi="Calibri" w:cs="Calibri"/>
          <w:b/>
          <w:bCs/>
          <w:sz w:val="22"/>
          <w:szCs w:val="22"/>
          <w:bdr w:val="none" w:sz="0" w:space="0" w:color="auto" w:frame="1"/>
          <w:lang w:val="fr-FR"/>
        </w:rPr>
        <w:lastRenderedPageBreak/>
        <w:t xml:space="preserve">Palmer </w:t>
      </w:r>
      <w:proofErr w:type="spellStart"/>
      <w:r w:rsidRPr="00256265">
        <w:rPr>
          <w:rFonts w:ascii="Calibri" w:hAnsi="Calibri" w:cs="Calibri"/>
          <w:b/>
          <w:bCs/>
          <w:sz w:val="22"/>
          <w:szCs w:val="22"/>
          <w:bdr w:val="none" w:sz="0" w:space="0" w:color="auto" w:frame="1"/>
          <w:lang w:val="fr-FR"/>
        </w:rPr>
        <w:t>Pedalbay</w:t>
      </w:r>
      <w:proofErr w:type="spellEnd"/>
      <w:r w:rsidRPr="00256265">
        <w:rPr>
          <w:rFonts w:ascii="Calibri" w:hAnsi="Calibri" w:cs="Calibri"/>
          <w:b/>
          <w:bCs/>
          <w:sz w:val="22"/>
          <w:szCs w:val="22"/>
          <w:bdr w:val="none" w:sz="0" w:space="0" w:color="auto" w:frame="1"/>
          <w:lang w:val="fr-FR"/>
        </w:rPr>
        <w:t xml:space="preserve"> 40</w:t>
      </w:r>
      <w:r w:rsidRPr="00256265">
        <w:rPr>
          <w:rFonts w:ascii="Calibri" w:hAnsi="Calibri" w:cs="Calibri"/>
          <w:sz w:val="22"/>
          <w:szCs w:val="22"/>
          <w:bdr w:val="none" w:sz="0" w:space="0" w:color="auto" w:frame="1"/>
          <w:lang w:val="fr-FR"/>
        </w:rPr>
        <w:t> </w:t>
      </w:r>
      <w:r w:rsidRPr="00256265">
        <w:rPr>
          <w:rFonts w:ascii="Calibri" w:hAnsi="Calibri" w:cs="Calibri"/>
          <w:b/>
          <w:bCs/>
          <w:sz w:val="22"/>
          <w:szCs w:val="22"/>
          <w:bdr w:val="none" w:sz="0" w:space="0" w:color="auto" w:frame="1"/>
          <w:lang w:val="fr-FR"/>
        </w:rPr>
        <w:t>PB - Kit pédalier avec bloc secteur intégré</w:t>
      </w:r>
    </w:p>
    <w:p w14:paraId="08426C21" w14:textId="6288CBA1" w:rsidR="00873B01" w:rsidRPr="00256265" w:rsidRDefault="00873B01" w:rsidP="00456C8C">
      <w:pPr>
        <w:jc w:val="both"/>
        <w:rPr>
          <w:rFonts w:asciiTheme="minorHAnsi" w:hAnsiTheme="minorHAnsi" w:cstheme="minorHAnsi"/>
          <w:sz w:val="22"/>
          <w:szCs w:val="22"/>
          <w:lang w:val="fr-FR"/>
        </w:rPr>
      </w:pPr>
      <w:r w:rsidRPr="00256265">
        <w:rPr>
          <w:rFonts w:asciiTheme="minorHAnsi" w:hAnsiTheme="minorHAnsi" w:cstheme="minorHAnsi"/>
          <w:sz w:val="22"/>
          <w:szCs w:val="22"/>
          <w:lang w:val="fr-FR"/>
        </w:rPr>
        <w:t xml:space="preserve">Le kit </w:t>
      </w:r>
      <w:proofErr w:type="spellStart"/>
      <w:r w:rsidRPr="00256265">
        <w:rPr>
          <w:rFonts w:asciiTheme="minorHAnsi" w:hAnsiTheme="minorHAnsi" w:cstheme="minorHAnsi"/>
          <w:sz w:val="22"/>
          <w:szCs w:val="22"/>
          <w:lang w:val="fr-FR"/>
        </w:rPr>
        <w:t>Pedalbay</w:t>
      </w:r>
      <w:proofErr w:type="spellEnd"/>
      <w:r w:rsidRPr="00256265">
        <w:rPr>
          <w:rFonts w:asciiTheme="minorHAnsi" w:hAnsiTheme="minorHAnsi" w:cstheme="minorHAnsi"/>
          <w:sz w:val="22"/>
          <w:szCs w:val="22"/>
          <w:lang w:val="fr-FR"/>
        </w:rPr>
        <w:t xml:space="preserve"> 40 PB combine le pédalier populaire Palmer </w:t>
      </w:r>
      <w:proofErr w:type="spellStart"/>
      <w:r w:rsidRPr="00256265">
        <w:rPr>
          <w:rFonts w:asciiTheme="minorHAnsi" w:hAnsiTheme="minorHAnsi" w:cstheme="minorHAnsi"/>
          <w:sz w:val="22"/>
          <w:szCs w:val="22"/>
          <w:lang w:val="fr-FR"/>
        </w:rPr>
        <w:t>Pedalbay</w:t>
      </w:r>
      <w:proofErr w:type="spellEnd"/>
      <w:r w:rsidRPr="00256265">
        <w:rPr>
          <w:rFonts w:asciiTheme="minorHAnsi" w:hAnsiTheme="minorHAnsi" w:cstheme="minorHAnsi"/>
          <w:sz w:val="22"/>
          <w:szCs w:val="22"/>
          <w:lang w:val="fr-FR"/>
        </w:rPr>
        <w:t xml:space="preserve"> 40 et le bloc secteur Palmer WTPB40 à huit sorties isolées. Grâce à l'intégration brevetée, le bloc secteur peut être remplacé et fixé avec n'importe quel rail du </w:t>
      </w:r>
      <w:proofErr w:type="spellStart"/>
      <w:r w:rsidRPr="00256265">
        <w:rPr>
          <w:rFonts w:asciiTheme="minorHAnsi" w:hAnsiTheme="minorHAnsi" w:cstheme="minorHAnsi"/>
          <w:sz w:val="22"/>
          <w:szCs w:val="22"/>
          <w:lang w:val="fr-FR"/>
        </w:rPr>
        <w:t>Pedalbay</w:t>
      </w:r>
      <w:proofErr w:type="spellEnd"/>
      <w:r w:rsidRPr="00256265">
        <w:rPr>
          <w:rFonts w:asciiTheme="minorHAnsi" w:hAnsiTheme="minorHAnsi" w:cstheme="minorHAnsi"/>
          <w:sz w:val="22"/>
          <w:szCs w:val="22"/>
          <w:lang w:val="fr-FR"/>
        </w:rPr>
        <w:t xml:space="preserve"> 40. Les musiciens bénéficient ainsi d'une disposition ordonnée du pédalier. En outre, la protection contre </w:t>
      </w:r>
      <w:proofErr w:type="gramStart"/>
      <w:r w:rsidRPr="00256265">
        <w:rPr>
          <w:rFonts w:asciiTheme="minorHAnsi" w:hAnsiTheme="minorHAnsi" w:cstheme="minorHAnsi"/>
          <w:sz w:val="22"/>
          <w:szCs w:val="22"/>
          <w:lang w:val="fr-FR"/>
        </w:rPr>
        <w:t xml:space="preserve">les </w:t>
      </w:r>
      <w:r w:rsidR="00456C8C" w:rsidRPr="00256265">
        <w:rPr>
          <w:rFonts w:asciiTheme="minorHAnsi" w:hAnsiTheme="minorHAnsi" w:cstheme="minorHAnsi"/>
          <w:sz w:val="22"/>
          <w:szCs w:val="22"/>
          <w:lang w:val="fr-FR"/>
        </w:rPr>
        <w:t>court-circuit</w:t>
      </w:r>
      <w:proofErr w:type="gramEnd"/>
      <w:r w:rsidRPr="00256265">
        <w:rPr>
          <w:rFonts w:asciiTheme="minorHAnsi" w:hAnsiTheme="minorHAnsi" w:cstheme="minorHAnsi"/>
          <w:sz w:val="22"/>
          <w:szCs w:val="22"/>
          <w:lang w:val="fr-FR"/>
        </w:rPr>
        <w:t xml:space="preserve"> et la surcharge du bloc secteur garantit un fonctionnement sûr à chaque sortie.</w:t>
      </w:r>
    </w:p>
    <w:p w14:paraId="453CB7F4" w14:textId="23046B2D" w:rsidR="00873B01" w:rsidRPr="00256265" w:rsidRDefault="00873B01" w:rsidP="00456C8C">
      <w:pPr>
        <w:jc w:val="both"/>
        <w:rPr>
          <w:rFonts w:ascii="Calibri" w:hAnsi="Calibri"/>
          <w:sz w:val="22"/>
          <w:bdr w:val="none" w:sz="0" w:space="0" w:color="auto" w:frame="1"/>
          <w:lang w:val="fr-FR"/>
        </w:rPr>
      </w:pPr>
    </w:p>
    <w:p w14:paraId="731B74B3" w14:textId="77777777" w:rsidR="00B17674" w:rsidRPr="00256265" w:rsidRDefault="00B17674" w:rsidP="00456C8C">
      <w:pPr>
        <w:jc w:val="both"/>
        <w:rPr>
          <w:rFonts w:ascii="Calibri" w:hAnsi="Calibri" w:cs="Calibri"/>
          <w:b/>
          <w:bCs/>
          <w:sz w:val="22"/>
          <w:szCs w:val="22"/>
          <w:lang w:val="fr-FR"/>
        </w:rPr>
      </w:pPr>
    </w:p>
    <w:p w14:paraId="417548FF" w14:textId="77777777" w:rsidR="00B17674" w:rsidRPr="00256265" w:rsidRDefault="00B17674" w:rsidP="00456C8C">
      <w:pPr>
        <w:jc w:val="both"/>
        <w:rPr>
          <w:rFonts w:ascii="Calibri" w:hAnsi="Calibri" w:cs="Calibri"/>
          <w:b/>
          <w:bCs/>
          <w:sz w:val="22"/>
          <w:szCs w:val="22"/>
          <w:lang w:val="fr-FR"/>
        </w:rPr>
      </w:pPr>
    </w:p>
    <w:p w14:paraId="6F89E5FF" w14:textId="05AFB9BD" w:rsidR="00873B01" w:rsidRPr="00256265" w:rsidRDefault="00873B01" w:rsidP="00456C8C">
      <w:pPr>
        <w:jc w:val="both"/>
        <w:rPr>
          <w:rFonts w:ascii="Calibri" w:hAnsi="Calibri" w:cs="Calibri"/>
          <w:b/>
          <w:bCs/>
          <w:sz w:val="22"/>
          <w:szCs w:val="22"/>
          <w:lang w:val="fr-FR"/>
        </w:rPr>
      </w:pPr>
      <w:r w:rsidRPr="00256265">
        <w:rPr>
          <w:rFonts w:ascii="Calibri" w:hAnsi="Calibri" w:cs="Calibri"/>
          <w:b/>
          <w:bCs/>
          <w:sz w:val="22"/>
          <w:szCs w:val="22"/>
          <w:lang w:val="fr-FR"/>
        </w:rPr>
        <w:t>Palmer Grand</w:t>
      </w:r>
      <w:r w:rsidRPr="00256265">
        <w:rPr>
          <w:rFonts w:ascii="Calibri" w:hAnsi="Calibri" w:cs="Calibri"/>
          <w:sz w:val="22"/>
          <w:szCs w:val="22"/>
          <w:lang w:val="fr-FR"/>
        </w:rPr>
        <w:t> </w:t>
      </w:r>
      <w:r w:rsidRPr="00256265">
        <w:rPr>
          <w:rFonts w:ascii="Calibri" w:hAnsi="Calibri" w:cs="Calibri"/>
          <w:b/>
          <w:bCs/>
          <w:sz w:val="22"/>
          <w:szCs w:val="22"/>
          <w:lang w:val="fr-FR"/>
        </w:rPr>
        <w:t>Audition</w:t>
      </w:r>
      <w:r w:rsidRPr="00256265">
        <w:rPr>
          <w:rFonts w:ascii="Calibri" w:hAnsi="Calibri" w:cs="Calibri"/>
          <w:sz w:val="22"/>
          <w:szCs w:val="22"/>
          <w:lang w:val="fr-FR"/>
        </w:rPr>
        <w:t> </w:t>
      </w:r>
      <w:r w:rsidRPr="00256265">
        <w:rPr>
          <w:rFonts w:ascii="Calibri" w:hAnsi="Calibri" w:cs="Calibri"/>
          <w:b/>
          <w:bCs/>
          <w:sz w:val="22"/>
          <w:szCs w:val="22"/>
          <w:lang w:val="fr-FR"/>
        </w:rPr>
        <w:t>MKII – Commutateur polyvalent à commande moderne</w:t>
      </w:r>
    </w:p>
    <w:p w14:paraId="1849564F" w14:textId="6BA1372F" w:rsidR="00873B01" w:rsidRPr="00256265" w:rsidRDefault="00873B01" w:rsidP="00456C8C">
      <w:pPr>
        <w:jc w:val="both"/>
        <w:rPr>
          <w:rFonts w:asciiTheme="minorHAnsi" w:hAnsiTheme="minorHAnsi" w:cstheme="minorHAnsi"/>
          <w:sz w:val="22"/>
          <w:szCs w:val="22"/>
          <w:lang w:val="fr-FR"/>
        </w:rPr>
      </w:pPr>
      <w:r w:rsidRPr="00256265">
        <w:rPr>
          <w:rFonts w:asciiTheme="minorHAnsi" w:hAnsiTheme="minorHAnsi" w:cstheme="minorHAnsi"/>
          <w:sz w:val="22"/>
          <w:szCs w:val="22"/>
          <w:lang w:val="fr-FR"/>
        </w:rPr>
        <w:t>Avec 16 sorties mono ou 8 sorties stéréo et 8 sorties de caisson de basses, le nouveau système de commutation d'enceintes Grand Audition MKII convient parfaitement à une utilisation dans les showrooms ou les magasins de musique et permet une commutation de haute qualité des parties supérieures et des caissons de basses. La sélection des canaux et le réglage du volume s'effectuent directement sur la façade ou via une interface Web sur navigateur avec d'autres options de commande. Outre les entrées XLR, le Grand Audition MKII comprend un lecteur intégré avec port USB pour la lecture de fichiers audio directement via un support de stockage USB.</w:t>
      </w:r>
    </w:p>
    <w:p w14:paraId="4457DC93" w14:textId="77777777" w:rsidR="002A640C" w:rsidRPr="00456C8C" w:rsidRDefault="002A640C" w:rsidP="00456C8C">
      <w:pPr>
        <w:jc w:val="both"/>
        <w:rPr>
          <w:rFonts w:ascii="Calibri" w:hAnsi="Calibri"/>
          <w:color w:val="0D0D0D" w:themeColor="text1" w:themeTint="F2"/>
          <w:sz w:val="22"/>
          <w:bdr w:val="none" w:sz="0" w:space="0" w:color="auto" w:frame="1"/>
          <w:lang w:val="fr-FR"/>
        </w:rPr>
      </w:pPr>
    </w:p>
    <w:p w14:paraId="614C9227" w14:textId="3B1D1E9A" w:rsidR="0030623B" w:rsidRPr="00456C8C" w:rsidRDefault="0030623B" w:rsidP="00456C8C">
      <w:pPr>
        <w:jc w:val="both"/>
        <w:rPr>
          <w:rFonts w:ascii="Calibri" w:hAnsi="Calibri" w:cs="Calibri"/>
          <w:color w:val="000000" w:themeColor="text1"/>
          <w:sz w:val="22"/>
          <w:szCs w:val="22"/>
          <w:lang w:val="en-GB"/>
        </w:rPr>
      </w:pPr>
      <w:r>
        <w:rPr>
          <w:rFonts w:ascii="Calibri" w:hAnsi="Calibri" w:cs="Calibri"/>
          <w:color w:val="000000" w:themeColor="text1"/>
          <w:sz w:val="22"/>
          <w:szCs w:val="22"/>
          <w:lang w:val="en"/>
        </w:rPr>
        <w:t>#</w:t>
      </w:r>
      <w:proofErr w:type="spellStart"/>
      <w:proofErr w:type="gramStart"/>
      <w:r>
        <w:rPr>
          <w:rFonts w:ascii="Calibri" w:hAnsi="Calibri" w:cs="Calibri"/>
          <w:color w:val="000000" w:themeColor="text1"/>
          <w:sz w:val="22"/>
          <w:szCs w:val="22"/>
          <w:lang w:val="en"/>
        </w:rPr>
        <w:t>LDSystems</w:t>
      </w:r>
      <w:proofErr w:type="spellEnd"/>
      <w:r>
        <w:rPr>
          <w:rFonts w:ascii="Calibri" w:hAnsi="Calibri" w:cs="Calibri"/>
          <w:color w:val="000000" w:themeColor="text1"/>
          <w:sz w:val="22"/>
          <w:szCs w:val="22"/>
          <w:lang w:val="en"/>
        </w:rPr>
        <w:t xml:space="preserve">  #</w:t>
      </w:r>
      <w:proofErr w:type="gramEnd"/>
      <w:r>
        <w:rPr>
          <w:rFonts w:ascii="Calibri" w:hAnsi="Calibri" w:cs="Calibri"/>
          <w:color w:val="000000" w:themeColor="text1"/>
          <w:sz w:val="22"/>
          <w:szCs w:val="22"/>
          <w:lang w:val="en"/>
        </w:rPr>
        <w:t>Gravity  #Palmer  #</w:t>
      </w:r>
      <w:proofErr w:type="spellStart"/>
      <w:r>
        <w:rPr>
          <w:rFonts w:ascii="Calibri" w:hAnsi="Calibri" w:cs="Calibri"/>
          <w:color w:val="000000" w:themeColor="text1"/>
          <w:sz w:val="22"/>
          <w:szCs w:val="22"/>
          <w:lang w:val="en"/>
        </w:rPr>
        <w:t>ProAudio</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EventTech</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ExperienceEventTech</w:t>
      </w:r>
      <w:proofErr w:type="spellEnd"/>
    </w:p>
    <w:p w14:paraId="518FC2D3" w14:textId="73CCF751" w:rsidR="0030623B" w:rsidRPr="00456C8C" w:rsidRDefault="0030623B" w:rsidP="00456C8C">
      <w:pPr>
        <w:jc w:val="both"/>
        <w:rPr>
          <w:rFonts w:ascii="Calibri" w:hAnsi="Calibri"/>
          <w:b/>
          <w:sz w:val="22"/>
          <w:highlight w:val="yellow"/>
          <w:lang w:val="en-GB"/>
        </w:rPr>
      </w:pPr>
    </w:p>
    <w:p w14:paraId="1938C36F" w14:textId="6AD8ACA0" w:rsidR="00371D3F" w:rsidRPr="00456C8C" w:rsidRDefault="00371D3F" w:rsidP="00456C8C">
      <w:pPr>
        <w:jc w:val="both"/>
        <w:rPr>
          <w:rFonts w:ascii="Calibri" w:hAnsi="Calibri"/>
          <w:b/>
          <w:sz w:val="22"/>
          <w:lang w:val="fr-FR"/>
        </w:rPr>
      </w:pPr>
      <w:r w:rsidRPr="00456C8C">
        <w:rPr>
          <w:rFonts w:ascii="Calibri" w:hAnsi="Calibri"/>
          <w:b/>
          <w:bCs/>
          <w:sz w:val="22"/>
          <w:lang w:val="fr-FR"/>
        </w:rPr>
        <w:t>L'inscription gratuite au salon Winter</w:t>
      </w:r>
      <w:r w:rsidRPr="00456C8C">
        <w:rPr>
          <w:rFonts w:ascii="Calibri" w:hAnsi="Calibri"/>
          <w:sz w:val="22"/>
          <w:lang w:val="fr-FR"/>
        </w:rPr>
        <w:t> </w:t>
      </w:r>
      <w:r w:rsidRPr="00456C8C">
        <w:rPr>
          <w:rFonts w:ascii="Calibri" w:hAnsi="Calibri"/>
          <w:b/>
          <w:bCs/>
          <w:sz w:val="22"/>
          <w:lang w:val="fr-FR"/>
        </w:rPr>
        <w:t>NAMM 2021 a lieu sur</w:t>
      </w:r>
      <w:r w:rsidRPr="00456C8C">
        <w:rPr>
          <w:rFonts w:ascii="Calibri" w:hAnsi="Calibri"/>
          <w:sz w:val="22"/>
          <w:lang w:val="fr-FR"/>
        </w:rPr>
        <w:t> </w:t>
      </w:r>
      <w:r w:rsidRPr="00456C8C">
        <w:rPr>
          <w:rFonts w:ascii="Calibri" w:hAnsi="Calibri"/>
          <w:b/>
          <w:bCs/>
          <w:sz w:val="22"/>
          <w:lang w:val="fr-FR"/>
        </w:rPr>
        <w:t>:</w:t>
      </w:r>
    </w:p>
    <w:p w14:paraId="15636C38" w14:textId="6D32CD20" w:rsidR="000B1437" w:rsidRPr="00456C8C" w:rsidRDefault="00256265" w:rsidP="00456C8C">
      <w:pPr>
        <w:jc w:val="both"/>
        <w:rPr>
          <w:rFonts w:ascii="Calibri" w:hAnsi="Calibri"/>
          <w:bCs/>
          <w:sz w:val="22"/>
          <w:highlight w:val="yellow"/>
          <w:lang w:val="fr-FR"/>
        </w:rPr>
      </w:pPr>
      <w:hyperlink r:id="rId7" w:history="1">
        <w:r w:rsidR="00B17674" w:rsidRPr="00456C8C">
          <w:rPr>
            <w:rStyle w:val="Hyperlink"/>
            <w:rFonts w:ascii="Calibri" w:hAnsi="Calibri"/>
            <w:sz w:val="22"/>
            <w:lang w:val="fr-FR"/>
          </w:rPr>
          <w:t>attend.believeinmusic.tv</w:t>
        </w:r>
      </w:hyperlink>
    </w:p>
    <w:p w14:paraId="2FCD589B" w14:textId="77777777" w:rsidR="00371D3F" w:rsidRPr="00456C8C" w:rsidRDefault="00371D3F" w:rsidP="00456C8C">
      <w:pPr>
        <w:jc w:val="both"/>
        <w:rPr>
          <w:rFonts w:ascii="Calibri" w:hAnsi="Calibri"/>
          <w:b/>
          <w:sz w:val="22"/>
          <w:highlight w:val="yellow"/>
          <w:lang w:val="fr-FR"/>
        </w:rPr>
      </w:pPr>
    </w:p>
    <w:p w14:paraId="1331FEA2" w14:textId="5883B238" w:rsidR="0030623B" w:rsidRPr="00456C8C" w:rsidRDefault="00371D3F" w:rsidP="00456C8C">
      <w:pPr>
        <w:rPr>
          <w:rStyle w:val="Hyperlink"/>
          <w:rFonts w:ascii="Calibri" w:eastAsia="Arial" w:hAnsi="Calibri"/>
          <w:b/>
          <w:bCs/>
          <w:color w:val="auto"/>
          <w:sz w:val="22"/>
          <w:szCs w:val="22"/>
          <w:u w:val="none"/>
          <w:lang w:val="fr-FR"/>
        </w:rPr>
      </w:pPr>
      <w:r w:rsidRPr="00256265">
        <w:rPr>
          <w:rFonts w:ascii="Calibri" w:hAnsi="Calibri"/>
          <w:b/>
          <w:bCs/>
          <w:sz w:val="22"/>
          <w:lang w:val="fr-FR"/>
        </w:rPr>
        <w:t>Informations</w:t>
      </w:r>
      <w:r w:rsidR="00456C8C" w:rsidRPr="00256265">
        <w:rPr>
          <w:rFonts w:ascii="Calibri" w:hAnsi="Calibri"/>
          <w:b/>
          <w:bCs/>
          <w:sz w:val="22"/>
          <w:lang w:val="fr-FR"/>
        </w:rPr>
        <w:t xml:space="preserve"> </w:t>
      </w:r>
      <w:r w:rsidRPr="00256265">
        <w:rPr>
          <w:rFonts w:ascii="Calibri" w:hAnsi="Calibri"/>
          <w:b/>
          <w:bCs/>
          <w:sz w:val="22"/>
          <w:lang w:val="fr-FR"/>
        </w:rPr>
        <w:t>complémentaires :</w:t>
      </w:r>
      <w:r w:rsidRPr="00256265">
        <w:rPr>
          <w:rFonts w:ascii="Calibri" w:hAnsi="Calibri"/>
          <w:b/>
          <w:bCs/>
          <w:sz w:val="22"/>
          <w:lang w:val="fr-FR"/>
        </w:rPr>
        <w:br/>
      </w:r>
      <w:hyperlink r:id="rId8" w:history="1">
        <w:r w:rsidRPr="00456C8C">
          <w:rPr>
            <w:rStyle w:val="Hyperlink"/>
            <w:rFonts w:ascii="Calibri" w:hAnsi="Calibri" w:cs="Calibri"/>
            <w:sz w:val="22"/>
            <w:szCs w:val="22"/>
            <w:lang w:val="fr-FR"/>
          </w:rPr>
          <w:t>adamhall.com</w:t>
        </w:r>
      </w:hyperlink>
      <w:r w:rsidRPr="00456C8C">
        <w:rPr>
          <w:rFonts w:ascii="Calibri" w:hAnsi="Calibri"/>
          <w:sz w:val="22"/>
          <w:szCs w:val="22"/>
          <w:lang w:val="fr-FR"/>
        </w:rPr>
        <w:br/>
      </w:r>
      <w:hyperlink r:id="rId9" w:history="1">
        <w:proofErr w:type="spellStart"/>
        <w:proofErr w:type="gramStart"/>
        <w:r w:rsidRPr="00456C8C">
          <w:rPr>
            <w:rStyle w:val="Hyperlink"/>
            <w:rFonts w:ascii="Calibri" w:hAnsi="Calibri" w:cs="Calibri"/>
            <w:sz w:val="22"/>
            <w:szCs w:val="22"/>
            <w:lang w:val="fr-FR"/>
          </w:rPr>
          <w:t>event.tech</w:t>
        </w:r>
        <w:proofErr w:type="spellEnd"/>
        <w:proofErr w:type="gramEnd"/>
      </w:hyperlink>
    </w:p>
    <w:p w14:paraId="1150D44D" w14:textId="77777777" w:rsidR="003675B8" w:rsidRDefault="003675B8" w:rsidP="003675B8">
      <w:pPr>
        <w:pStyle w:val="KeinLeerraum"/>
        <w:rPr>
          <w:rFonts w:ascii="Calibri" w:hAnsi="Calibri"/>
          <w:b/>
          <w:color w:val="0D0D0D"/>
          <w:sz w:val="22"/>
          <w:szCs w:val="22"/>
        </w:rPr>
      </w:pPr>
    </w:p>
    <w:p w14:paraId="64ED5AC6" w14:textId="77777777" w:rsidR="003675B8" w:rsidRDefault="003675B8" w:rsidP="003675B8">
      <w:pPr>
        <w:pStyle w:val="KeinLeerraum"/>
        <w:rPr>
          <w:rFonts w:ascii="Calibri" w:hAnsi="Calibri"/>
          <w:b/>
          <w:color w:val="0D0D0D"/>
          <w:sz w:val="22"/>
          <w:szCs w:val="22"/>
        </w:rPr>
      </w:pPr>
    </w:p>
    <w:p w14:paraId="00C03EBE" w14:textId="77777777" w:rsidR="003675B8" w:rsidRDefault="003675B8" w:rsidP="003675B8">
      <w:pPr>
        <w:pStyle w:val="KeinLeerraum"/>
        <w:rPr>
          <w:rFonts w:ascii="Calibri" w:hAnsi="Calibri"/>
          <w:b/>
          <w:color w:val="808080"/>
          <w:kern w:val="2"/>
          <w:sz w:val="18"/>
          <w:lang w:eastAsia="de-DE" w:bidi="de-DE"/>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bookmarkStart w:id="0" w:name="_GoBack"/>
      <w:bookmarkEnd w:id="0"/>
    </w:p>
    <w:p w14:paraId="6A33A635" w14:textId="77777777" w:rsidR="003675B8" w:rsidRDefault="003675B8" w:rsidP="003675B8">
      <w:pPr>
        <w:rPr>
          <w:rStyle w:val="Hyperlink"/>
          <w:rFonts w:eastAsia="Arial"/>
          <w:sz w:val="22"/>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r>
        <w:fldChar w:fldCharType="begin"/>
      </w:r>
      <w:r w:rsidRPr="003675B8">
        <w:rPr>
          <w:lang w:val="en-US"/>
        </w:rPr>
        <w:instrText xml:space="preserve"> HYPERLINK "http://www.adamhall.com/" </w:instrText>
      </w:r>
      <w:r>
        <w:fldChar w:fldCharType="separate"/>
      </w:r>
      <w:r>
        <w:rPr>
          <w:rStyle w:val="Hyperlink"/>
          <w:rFonts w:ascii="Calibri" w:hAnsi="Calibri"/>
          <w:sz w:val="18"/>
          <w:lang w:val="es-ES"/>
        </w:rPr>
        <w:t>www.adamhall.com</w:t>
      </w:r>
      <w:r>
        <w:rPr>
          <w:rStyle w:val="Hyperlink"/>
          <w:rFonts w:ascii="Calibri" w:hAnsi="Calibri"/>
          <w:sz w:val="18"/>
          <w:lang w:val="es-ES"/>
        </w:rPr>
        <w:fldChar w:fldCharType="end"/>
      </w:r>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5A7C3F62" w14:textId="77777777" w:rsidR="003675B8" w:rsidRDefault="003675B8" w:rsidP="003675B8">
      <w:pPr>
        <w:pStyle w:val="KeinLeerraum"/>
        <w:rPr>
          <w:b/>
          <w:color w:val="808080"/>
          <w:sz w:val="18"/>
        </w:rPr>
      </w:pPr>
    </w:p>
    <w:p w14:paraId="6B9868C4" w14:textId="77777777" w:rsidR="003675B8" w:rsidRDefault="003675B8" w:rsidP="003675B8">
      <w:pPr>
        <w:pStyle w:val="KeinLeerraum"/>
        <w:rPr>
          <w:rFonts w:ascii="Calibri" w:hAnsi="Calibri"/>
          <w:b/>
          <w:bCs/>
          <w:color w:val="808080" w:themeColor="background1" w:themeShade="80"/>
          <w:sz w:val="18"/>
        </w:rPr>
      </w:pPr>
      <w:r>
        <w:rPr>
          <w:rFonts w:ascii="Calibri" w:hAnsi="Calibri"/>
          <w:b/>
          <w:bCs/>
          <w:color w:val="808080" w:themeColor="background1" w:themeShade="80"/>
          <w:sz w:val="18"/>
          <w:lang w:val="en"/>
        </w:rPr>
        <w:t xml:space="preserve">Contact </w:t>
      </w:r>
      <w:proofErr w:type="spellStart"/>
      <w:r>
        <w:rPr>
          <w:rFonts w:ascii="Calibri" w:hAnsi="Calibri"/>
          <w:b/>
          <w:bCs/>
          <w:color w:val="808080" w:themeColor="background1" w:themeShade="80"/>
          <w:sz w:val="18"/>
          <w:lang w:val="en"/>
        </w:rPr>
        <w:t>presse</w:t>
      </w:r>
      <w:proofErr w:type="spellEnd"/>
      <w:r>
        <w:rPr>
          <w:rFonts w:ascii="Calibri" w:hAnsi="Calibri"/>
          <w:b/>
          <w:bCs/>
          <w:color w:val="808080" w:themeColor="background1" w:themeShade="80"/>
          <w:sz w:val="18"/>
          <w:lang w:val="en"/>
        </w:rPr>
        <w:t xml:space="preserve"> </w:t>
      </w:r>
      <w:proofErr w:type="spellStart"/>
      <w:proofErr w:type="gramStart"/>
      <w:r>
        <w:rPr>
          <w:rFonts w:ascii="Calibri" w:hAnsi="Calibri"/>
          <w:b/>
          <w:bCs/>
          <w:color w:val="808080" w:themeColor="background1" w:themeShade="80"/>
          <w:sz w:val="18"/>
          <w:lang w:val="en"/>
        </w:rPr>
        <w:t>d’AHG</w:t>
      </w:r>
      <w:proofErr w:type="spellEnd"/>
      <w:r>
        <w:rPr>
          <w:rFonts w:ascii="Calibri" w:hAnsi="Calibri"/>
          <w:b/>
          <w:bCs/>
          <w:color w:val="808080" w:themeColor="background1" w:themeShade="80"/>
          <w:sz w:val="18"/>
          <w:lang w:val="en"/>
        </w:rPr>
        <w:t> :</w:t>
      </w:r>
      <w:proofErr w:type="gramEnd"/>
    </w:p>
    <w:p w14:paraId="50F8230F" w14:textId="77777777" w:rsidR="003675B8" w:rsidRDefault="003675B8" w:rsidP="003675B8">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5A65DA07" w14:textId="77777777" w:rsidR="003675B8" w:rsidRDefault="003675B8" w:rsidP="003675B8">
      <w:pPr>
        <w:pStyle w:val="KeinLeerraum"/>
        <w:rPr>
          <w:rFonts w:ascii="Calibri" w:hAnsi="Calibri"/>
          <w:color w:val="808080" w:themeColor="background1" w:themeShade="80"/>
          <w:sz w:val="18"/>
        </w:rPr>
      </w:pPr>
      <w:r>
        <w:rPr>
          <w:rFonts w:ascii="Calibri" w:hAnsi="Calibri"/>
          <w:color w:val="808080" w:themeColor="background1" w:themeShade="80"/>
          <w:sz w:val="18"/>
          <w:lang w:val="en"/>
        </w:rPr>
        <w:t>Event Edit | PR &amp; Editorial Office</w:t>
      </w:r>
    </w:p>
    <w:p w14:paraId="106A27BF" w14:textId="77777777" w:rsidR="003675B8" w:rsidRDefault="003675B8" w:rsidP="003675B8">
      <w:pPr>
        <w:pStyle w:val="KeinLeerraum"/>
        <w:rPr>
          <w:rFonts w:ascii="Calibri" w:hAnsi="Calibri"/>
          <w:color w:val="808080" w:themeColor="background1" w:themeShade="80"/>
          <w:sz w:val="18"/>
          <w:lang w:val="de-DE"/>
        </w:rPr>
      </w:pPr>
      <w:proofErr w:type="gramStart"/>
      <w:r>
        <w:rPr>
          <w:rFonts w:ascii="Calibri" w:hAnsi="Calibri"/>
          <w:color w:val="808080" w:themeColor="background1" w:themeShade="80"/>
          <w:sz w:val="18"/>
          <w:lang w:val="en"/>
        </w:rPr>
        <w:t>E-mail :</w:t>
      </w:r>
      <w:proofErr w:type="gramEnd"/>
      <w:r>
        <w:rPr>
          <w:rFonts w:ascii="Calibri" w:hAnsi="Calibri"/>
          <w:color w:val="808080" w:themeColor="background1" w:themeShade="80"/>
          <w:sz w:val="18"/>
          <w:lang w:val="en"/>
        </w:rPr>
        <w:tab/>
      </w:r>
      <w:hyperlink r:id="rId10" w:history="1">
        <w:r>
          <w:rPr>
            <w:rStyle w:val="Hyperlink"/>
            <w:rFonts w:ascii="Calibri" w:hAnsi="Calibri"/>
            <w:b/>
            <w:bCs/>
            <w:color w:val="808080" w:themeColor="background1" w:themeShade="80"/>
            <w:sz w:val="18"/>
            <w:lang w:val="en"/>
          </w:rPr>
          <w:t>press@adamhall.com</w:t>
        </w:r>
      </w:hyperlink>
    </w:p>
    <w:p w14:paraId="1B08E28C" w14:textId="77777777" w:rsidR="000C2D39" w:rsidRPr="00456C8C" w:rsidRDefault="000C2D39" w:rsidP="00456C8C">
      <w:pPr>
        <w:jc w:val="both"/>
        <w:rPr>
          <w:rFonts w:ascii="Arial" w:hAnsi="Arial"/>
          <w:sz w:val="20"/>
          <w:lang w:val="fr-FR"/>
        </w:rPr>
      </w:pPr>
    </w:p>
    <w:sectPr w:rsidR="000C2D39" w:rsidRPr="00456C8C"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CC144" w14:textId="77777777" w:rsidR="005E065E" w:rsidRDefault="005E065E" w:rsidP="004330C6">
      <w:r>
        <w:separator/>
      </w:r>
    </w:p>
  </w:endnote>
  <w:endnote w:type="continuationSeparator" w:id="0">
    <w:p w14:paraId="5BFC9701" w14:textId="77777777" w:rsidR="005E065E" w:rsidRDefault="005E065E" w:rsidP="004330C6">
      <w:r>
        <w:continuationSeparator/>
      </w:r>
    </w:p>
  </w:endnote>
  <w:endnote w:type="continuationNotice" w:id="1">
    <w:p w14:paraId="3A956BD2" w14:textId="77777777" w:rsidR="005E065E" w:rsidRDefault="005E0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80"/>
    <w:family w:val="auto"/>
    <w:pitch w:val="default"/>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panose1 w:val="00000300000000000000"/>
    <w:charset w:val="00"/>
    <w:family w:val="modern"/>
    <w:notTrueType/>
    <w:pitch w:val="variable"/>
    <w:sig w:usb0="00000007" w:usb1="00000001" w:usb2="00000000" w:usb3="00000000" w:csb0="000000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486E" w14:textId="016E9865" w:rsidR="004330C6" w:rsidRDefault="00E345E6">
    <w:pPr>
      <w:pStyle w:val="Fuzeile"/>
    </w:pPr>
    <w:r>
      <w:rPr>
        <w:noProof/>
        <w:lang w:val="fr-FR" w:eastAsia="fr-FR"/>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C2F45" w14:textId="77777777" w:rsidR="005E065E" w:rsidRDefault="005E065E" w:rsidP="004330C6">
      <w:r>
        <w:separator/>
      </w:r>
    </w:p>
  </w:footnote>
  <w:footnote w:type="continuationSeparator" w:id="0">
    <w:p w14:paraId="1B9C804D" w14:textId="77777777" w:rsidR="005E065E" w:rsidRDefault="005E065E" w:rsidP="004330C6">
      <w:r>
        <w:continuationSeparator/>
      </w:r>
    </w:p>
  </w:footnote>
  <w:footnote w:type="continuationNotice" w:id="1">
    <w:p w14:paraId="4879A6FD" w14:textId="77777777" w:rsidR="005E065E" w:rsidRDefault="005E06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2F91A" w14:textId="77777777" w:rsidR="004330C6" w:rsidRPr="004304C9" w:rsidRDefault="004330C6" w:rsidP="004330C6">
    <w:pPr>
      <w:pStyle w:val="Kopfzeile"/>
      <w:jc w:val="right"/>
      <w:rPr>
        <w:u w:val="single"/>
      </w:rPr>
    </w:pPr>
    <w:r>
      <w:rPr>
        <w:noProof/>
        <w:lang w:val="fr-FR" w:eastAsia="fr-FR"/>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C3B47F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56265"/>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675B8"/>
    <w:rsid w:val="00371D3F"/>
    <w:rsid w:val="003725C5"/>
    <w:rsid w:val="0037421A"/>
    <w:rsid w:val="00374A19"/>
    <w:rsid w:val="00380A0A"/>
    <w:rsid w:val="003817D3"/>
    <w:rsid w:val="003834DC"/>
    <w:rsid w:val="003864D6"/>
    <w:rsid w:val="00386C43"/>
    <w:rsid w:val="00391FEB"/>
    <w:rsid w:val="003920A4"/>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56C8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065E"/>
    <w:rsid w:val="005E72BF"/>
    <w:rsid w:val="005F2899"/>
    <w:rsid w:val="005F3FF6"/>
    <w:rsid w:val="00600743"/>
    <w:rsid w:val="006028B8"/>
    <w:rsid w:val="00610CDC"/>
    <w:rsid w:val="006149B9"/>
    <w:rsid w:val="00640BCD"/>
    <w:rsid w:val="00642FDB"/>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62B64"/>
    <w:rsid w:val="00770699"/>
    <w:rsid w:val="00770C24"/>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17674"/>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52793"/>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2493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fr-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ttend.believeinmusic.tv/" TargetMode="External"/><Relationship Id="rId12" Type="http://schemas.openxmlformats.org/officeDocument/2006/relationships/footer" Target="foot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blog.adamhall.com/f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1331</Words>
  <Characters>8390</Characters>
  <Application>Microsoft Office Word</Application>
  <DocSecurity>0</DocSecurity>
  <Lines>69</Lines>
  <Paragraphs>19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5</cp:revision>
  <cp:lastPrinted>2018-11-21T16:53:00Z</cp:lastPrinted>
  <dcterms:created xsi:type="dcterms:W3CDTF">2021-01-15T11:16:00Z</dcterms:created>
  <dcterms:modified xsi:type="dcterms:W3CDTF">2021-01-15T14:29:00Z</dcterms:modified>
</cp:coreProperties>
</file>